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Times New Roman"/>
          <w:color w:val="000000"/>
          <w:sz w:val="30"/>
          <w:szCs w:val="30"/>
          <w:highlight w:val="none"/>
        </w:rPr>
      </w:pPr>
    </w:p>
    <w:p>
      <w:pPr>
        <w:jc w:val="center"/>
        <w:rPr>
          <w:rFonts w:ascii="Calibri" w:hAnsi="Calibri" w:eastAsia="宋体" w:cs="Times New Roman"/>
          <w:b/>
          <w:bCs/>
          <w:color w:val="000000"/>
          <w:spacing w:val="-8"/>
          <w:sz w:val="52"/>
          <w:szCs w:val="52"/>
          <w:highlight w:val="none"/>
        </w:rPr>
      </w:pPr>
      <w:r>
        <w:rPr>
          <w:rFonts w:ascii="Calibri" w:hAnsi="Calibri" w:eastAsia="宋体" w:cs="Times New Roman"/>
          <w:b/>
          <w:bCs/>
          <w:color w:val="000000"/>
          <w:spacing w:val="-8"/>
          <w:sz w:val="52"/>
          <w:szCs w:val="52"/>
          <w:highlight w:val="none"/>
        </w:rPr>
        <w:t>中国重汽集团济南动力有限公司</w:t>
      </w:r>
    </w:p>
    <w:p>
      <w:pPr>
        <w:jc w:val="center"/>
        <w:rPr>
          <w:sz w:val="40"/>
          <w:szCs w:val="40"/>
          <w:highlight w:val="none"/>
        </w:rPr>
      </w:pPr>
      <w:r>
        <w:rPr>
          <w:rFonts w:hint="eastAsia" w:ascii="Calibri" w:hAnsi="Calibri" w:eastAsia="宋体" w:cs="Times New Roman"/>
          <w:b/>
          <w:bCs/>
          <w:color w:val="000000"/>
          <w:spacing w:val="-8"/>
          <w:sz w:val="52"/>
          <w:szCs w:val="52"/>
          <w:highlight w:val="none"/>
          <w:lang w:eastAsia="zh-CN"/>
        </w:rPr>
        <w:t>曲轴磨床增加共振点补偿功能项目</w:t>
      </w:r>
    </w:p>
    <w:p>
      <w:pPr>
        <w:spacing w:line="276" w:lineRule="auto"/>
        <w:jc w:val="center"/>
        <w:rPr>
          <w:rFonts w:ascii="Calibri" w:hAnsi="Calibri" w:eastAsia="宋体" w:cs="Times New Roman"/>
          <w:color w:val="000000"/>
          <w:sz w:val="28"/>
          <w:szCs w:val="28"/>
          <w:highlight w:val="none"/>
        </w:rPr>
      </w:pPr>
    </w:p>
    <w:p>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招</w:t>
      </w:r>
    </w:p>
    <w:p>
      <w:pPr>
        <w:jc w:val="center"/>
        <w:rPr>
          <w:rFonts w:ascii="黑体" w:hAnsi="黑体" w:eastAsia="黑体" w:cs="Times New Roman"/>
          <w:color w:val="000000"/>
          <w:sz w:val="72"/>
          <w:szCs w:val="72"/>
          <w:highlight w:val="none"/>
        </w:rPr>
      </w:pPr>
    </w:p>
    <w:p>
      <w:pPr>
        <w:jc w:val="center"/>
        <w:rPr>
          <w:rFonts w:ascii="黑体" w:hAnsi="黑体" w:eastAsia="黑体" w:cs="Times New Roman"/>
          <w:color w:val="000000"/>
          <w:sz w:val="72"/>
          <w:szCs w:val="72"/>
          <w:highlight w:val="none"/>
        </w:rPr>
      </w:pPr>
      <w:r>
        <w:rPr>
          <w:rFonts w:ascii="黑体" w:hAnsi="黑体" w:eastAsia="宋体" w:cs="Times New Roman"/>
          <w:color w:val="000000"/>
          <w:sz w:val="72"/>
          <w:szCs w:val="72"/>
          <w:highlight w:val="none"/>
        </w:rPr>
        <w:t>标</w:t>
      </w:r>
    </w:p>
    <w:p>
      <w:pPr>
        <w:jc w:val="center"/>
        <w:rPr>
          <w:rFonts w:ascii="黑体" w:hAnsi="黑体" w:eastAsia="黑体" w:cs="Times New Roman"/>
          <w:color w:val="000000"/>
          <w:sz w:val="72"/>
          <w:szCs w:val="72"/>
          <w:highlight w:val="none"/>
        </w:rPr>
      </w:pPr>
    </w:p>
    <w:p>
      <w:pPr>
        <w:jc w:val="center"/>
        <w:rPr>
          <w:rFonts w:ascii="宋体" w:hAnsi="宋体" w:eastAsia="宋体" w:cs="Times New Roman"/>
          <w:color w:val="000000"/>
          <w:sz w:val="28"/>
          <w:szCs w:val="28"/>
          <w:highlight w:val="none"/>
        </w:rPr>
      </w:pPr>
      <w:r>
        <w:rPr>
          <w:rFonts w:ascii="黑体" w:hAnsi="黑体" w:eastAsia="宋体" w:cs="Times New Roman"/>
          <w:color w:val="000000"/>
          <w:sz w:val="72"/>
          <w:szCs w:val="72"/>
          <w:highlight w:val="none"/>
        </w:rPr>
        <w:t>书</w:t>
      </w:r>
    </w:p>
    <w:p>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编制：</w:t>
      </w:r>
    </w:p>
    <w:p>
      <w:pPr>
        <w:spacing w:line="860" w:lineRule="exact"/>
        <w:ind w:leftChars="900"/>
        <w:rPr>
          <w:rFonts w:ascii="华文仿宋" w:hAnsi="华文仿宋" w:eastAsia="华文仿宋"/>
          <w:b/>
          <w:bCs/>
          <w:sz w:val="32"/>
          <w:szCs w:val="28"/>
          <w:highlight w:val="none"/>
        </w:rPr>
      </w:pPr>
      <w:r>
        <w:rPr>
          <w:rFonts w:ascii="华文仿宋" w:hAnsi="华文仿宋" w:eastAsia="宋体"/>
          <w:b/>
          <w:bCs/>
          <w:sz w:val="32"/>
          <w:szCs w:val="28"/>
          <w:highlight w:val="none"/>
        </w:rPr>
        <w:t>审核：</w:t>
      </w:r>
    </w:p>
    <w:p>
      <w:pPr>
        <w:spacing w:line="860" w:lineRule="exact"/>
        <w:ind w:leftChars="900"/>
        <w:rPr>
          <w:rFonts w:ascii="华文仿宋" w:hAnsi="华文仿宋" w:eastAsia="宋体"/>
          <w:b/>
          <w:bCs/>
          <w:sz w:val="32"/>
          <w:szCs w:val="28"/>
          <w:highlight w:val="none"/>
        </w:rPr>
      </w:pPr>
      <w:r>
        <w:rPr>
          <w:rFonts w:ascii="华文仿宋" w:hAnsi="华文仿宋" w:eastAsia="宋体"/>
          <w:b/>
          <w:bCs/>
          <w:sz w:val="32"/>
          <w:szCs w:val="28"/>
          <w:highlight w:val="none"/>
        </w:rPr>
        <w:t>批准：</w:t>
      </w:r>
    </w:p>
    <w:p>
      <w:pPr>
        <w:pStyle w:val="2"/>
        <w:rPr>
          <w:rFonts w:ascii="华文仿宋" w:hAnsi="华文仿宋" w:eastAsia="宋体"/>
          <w:b/>
          <w:bCs/>
          <w:sz w:val="32"/>
          <w:szCs w:val="28"/>
          <w:highlight w:val="none"/>
        </w:rPr>
      </w:pPr>
    </w:p>
    <w:p>
      <w:pPr>
        <w:pStyle w:val="2"/>
        <w:rPr>
          <w:rFonts w:ascii="华文仿宋" w:hAnsi="华文仿宋" w:eastAsia="宋体"/>
          <w:b/>
          <w:bCs/>
          <w:sz w:val="32"/>
          <w:szCs w:val="28"/>
          <w:highlight w:val="none"/>
        </w:rPr>
      </w:pPr>
    </w:p>
    <w:p>
      <w:pPr>
        <w:pStyle w:val="2"/>
        <w:rPr>
          <w:b/>
          <w:bCs/>
          <w:highlight w:val="none"/>
        </w:rPr>
      </w:pPr>
    </w:p>
    <w:p>
      <w:pPr>
        <w:jc w:val="center"/>
        <w:rPr>
          <w:rFonts w:ascii="宋体" w:hAnsi="宋体" w:eastAsia="宋体" w:cs="Times New Roman"/>
          <w:color w:val="000000"/>
          <w:sz w:val="28"/>
          <w:szCs w:val="28"/>
          <w:highlight w:val="none"/>
        </w:rPr>
      </w:pPr>
      <w:r>
        <w:rPr>
          <w:rFonts w:ascii="宋体" w:hAnsi="宋体" w:eastAsia="宋体" w:cs="Times New Roman"/>
          <w:color w:val="000000"/>
          <w:sz w:val="28"/>
          <w:szCs w:val="28"/>
          <w:highlight w:val="none"/>
        </w:rPr>
        <w:t>招 标 人：中国重汽集团济南动力有限公司</w:t>
      </w:r>
    </w:p>
    <w:p>
      <w:pPr>
        <w:jc w:val="center"/>
        <w:rPr>
          <w:rFonts w:ascii="宋体" w:hAnsi="宋体" w:eastAsia="宋体" w:cs="Times New Roman"/>
          <w:color w:val="000000"/>
          <w:sz w:val="28"/>
          <w:szCs w:val="28"/>
          <w:highlight w:val="none"/>
        </w:rPr>
      </w:pPr>
      <w:r>
        <w:rPr>
          <w:rFonts w:ascii="Calibri" w:hAnsi="Calibri" w:eastAsia="宋体" w:cs="Times New Roman"/>
          <w:color w:val="000000"/>
          <w:sz w:val="28"/>
          <w:szCs w:val="28"/>
          <w:highlight w:val="none"/>
        </w:rPr>
        <w:t>2024</w:t>
      </w:r>
      <w:r>
        <w:rPr>
          <w:rFonts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7</w:t>
      </w:r>
      <w:r>
        <w:rPr>
          <w:rFonts w:ascii="Calibri" w:hAnsi="Calibri" w:eastAsia="宋体" w:cs="Times New Roman"/>
          <w:color w:val="000000"/>
          <w:sz w:val="28"/>
          <w:szCs w:val="28"/>
          <w:highlight w:val="none"/>
        </w:rPr>
        <w:t>月</w:t>
      </w:r>
    </w:p>
    <w:p>
      <w:pPr>
        <w:rPr>
          <w:highlight w:val="none"/>
        </w:rPr>
        <w:sectPr>
          <w:footerReference r:id="rId5" w:type="first"/>
          <w:footerReference r:id="rId4" w:type="default"/>
          <w:pgSz w:w="11906" w:h="16838"/>
          <w:pgMar w:top="1588" w:right="1418" w:bottom="1134" w:left="1418" w:header="0" w:footer="992" w:gutter="0"/>
          <w:pgNumType w:fmt="decimal"/>
          <w:cols w:space="720" w:num="1"/>
          <w:formProt w:val="0"/>
          <w:titlePg/>
          <w:docGrid w:type="lines" w:linePitch="312" w:charSpace="0"/>
        </w:sectPr>
      </w:pPr>
    </w:p>
    <w:sdt>
      <w:sdtPr>
        <w:rPr>
          <w:highlight w:val="none"/>
        </w:rPr>
        <w:id w:val="1"/>
        <w:docPartObj>
          <w:docPartGallery w:val="Table of Contents"/>
          <w:docPartUnique/>
        </w:docPartObj>
      </w:sdtPr>
      <w:sdtEndPr>
        <w:rPr>
          <w:highlight w:val="none"/>
        </w:rPr>
      </w:sdtEndPr>
      <w:sdtContent>
        <w:p>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pPr>
            <w:pStyle w:val="27"/>
            <w:tabs>
              <w:tab w:val="right" w:leader="dot" w:pos="9070"/>
            </w:tabs>
            <w:rPr>
              <w:b w:val="0"/>
              <w:bCs w:val="0"/>
              <w:color w:val="auto"/>
              <w:sz w:val="40"/>
              <w:szCs w:val="40"/>
              <w:highlight w:val="none"/>
            </w:rPr>
          </w:pPr>
          <w:r>
            <w:rPr>
              <w:highlight w:val="none"/>
            </w:rPr>
            <w:fldChar w:fldCharType="begin"/>
          </w:r>
          <w:r>
            <w:rPr>
              <w:rFonts w:ascii="Calibri" w:hAnsi="Calibri"/>
              <w:bCs/>
              <w:color w:val="000000"/>
              <w:kern w:val="2"/>
              <w:sz w:val="28"/>
              <w:szCs w:val="28"/>
              <w:highlight w:val="none"/>
            </w:rPr>
            <w:instrText xml:space="preserve">TOC \o "1-1" \u</w:instrText>
          </w:r>
          <w:r>
            <w:rPr>
              <w:rFonts w:ascii="Calibri" w:hAnsi="Calibri"/>
              <w:bCs/>
              <w:color w:val="000000"/>
              <w:kern w:val="2"/>
              <w:sz w:val="28"/>
              <w:szCs w:val="28"/>
              <w:highlight w:val="none"/>
            </w:rPr>
            <w:fldChar w:fldCharType="separate"/>
          </w:r>
          <w:r>
            <w:rPr>
              <w:rFonts w:ascii="Calibri" w:hAnsi="Calibri" w:eastAsia="宋体" w:cs="Times New Roman"/>
              <w:b w:val="0"/>
              <w:bCs w:val="0"/>
              <w:color w:val="auto"/>
              <w:kern w:val="2"/>
              <w:sz w:val="40"/>
              <w:szCs w:val="144"/>
              <w:highlight w:val="none"/>
            </w:rPr>
            <w:t>第一部分 投标须知前附表</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_Toc23295 \h </w:instrText>
          </w:r>
          <w:r>
            <w:rPr>
              <w:b w:val="0"/>
              <w:bCs w:val="0"/>
              <w:color w:val="auto"/>
              <w:sz w:val="40"/>
              <w:szCs w:val="40"/>
              <w:highlight w:val="none"/>
            </w:rPr>
            <w:fldChar w:fldCharType="separate"/>
          </w:r>
          <w:r>
            <w:rPr>
              <w:b w:val="0"/>
              <w:bCs w:val="0"/>
              <w:color w:val="auto"/>
              <w:sz w:val="40"/>
              <w:szCs w:val="40"/>
              <w:highlight w:val="none"/>
            </w:rPr>
            <w:t>3</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第二部分 投标须知</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_Toc20518 \h </w:instrText>
          </w:r>
          <w:r>
            <w:rPr>
              <w:b w:val="0"/>
              <w:bCs w:val="0"/>
              <w:color w:val="auto"/>
              <w:sz w:val="40"/>
              <w:szCs w:val="40"/>
              <w:highlight w:val="none"/>
            </w:rPr>
            <w:fldChar w:fldCharType="separate"/>
          </w:r>
          <w:r>
            <w:rPr>
              <w:b w:val="0"/>
              <w:bCs w:val="0"/>
              <w:color w:val="auto"/>
              <w:sz w:val="40"/>
              <w:szCs w:val="40"/>
              <w:highlight w:val="none"/>
            </w:rPr>
            <w:t>7</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第三部分 投标档编制</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_Toc20220 \h </w:instrText>
          </w:r>
          <w:r>
            <w:rPr>
              <w:b w:val="0"/>
              <w:bCs w:val="0"/>
              <w:color w:val="auto"/>
              <w:sz w:val="40"/>
              <w:szCs w:val="40"/>
              <w:highlight w:val="none"/>
            </w:rPr>
            <w:fldChar w:fldCharType="separate"/>
          </w:r>
          <w:r>
            <w:rPr>
              <w:b w:val="0"/>
              <w:bCs w:val="0"/>
              <w:color w:val="auto"/>
              <w:sz w:val="40"/>
              <w:szCs w:val="40"/>
              <w:highlight w:val="none"/>
            </w:rPr>
            <w:t>13</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Calibri" w:hAnsi="Calibri" w:eastAsia="宋体" w:cs="Times New Roman"/>
              <w:b w:val="0"/>
              <w:bCs w:val="0"/>
              <w:color w:val="auto"/>
              <w:kern w:val="2"/>
              <w:sz w:val="40"/>
              <w:szCs w:val="144"/>
              <w:highlight w:val="none"/>
            </w:rPr>
            <w:t>第四部分 技术标书</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_Toc21132 \h </w:instrText>
          </w:r>
          <w:r>
            <w:rPr>
              <w:b w:val="0"/>
              <w:bCs w:val="0"/>
              <w:color w:val="auto"/>
              <w:sz w:val="40"/>
              <w:szCs w:val="40"/>
              <w:highlight w:val="none"/>
            </w:rPr>
            <w:fldChar w:fldCharType="separate"/>
          </w:r>
          <w:r>
            <w:rPr>
              <w:b w:val="0"/>
              <w:bCs w:val="0"/>
              <w:color w:val="auto"/>
              <w:sz w:val="40"/>
              <w:szCs w:val="40"/>
              <w:highlight w:val="none"/>
            </w:rPr>
            <w:t>16</w:t>
          </w:r>
          <w:r>
            <w:rPr>
              <w:b w:val="0"/>
              <w:bCs w:val="0"/>
              <w:color w:val="auto"/>
              <w:sz w:val="40"/>
              <w:szCs w:val="40"/>
              <w:highlight w:val="none"/>
            </w:rPr>
            <w:fldChar w:fldCharType="end"/>
          </w:r>
        </w:p>
        <w:p>
          <w:pPr>
            <w:pStyle w:val="27"/>
            <w:tabs>
              <w:tab w:val="right" w:leader="dot" w:pos="9070"/>
            </w:tabs>
            <w:rPr>
              <w:b w:val="0"/>
              <w:bCs w:val="0"/>
              <w:color w:val="auto"/>
              <w:sz w:val="40"/>
              <w:szCs w:val="40"/>
              <w:highlight w:val="none"/>
            </w:rPr>
          </w:pPr>
          <w:r>
            <w:rPr>
              <w:rFonts w:ascii="宋体" w:hAnsi="宋体" w:eastAsia="宋体" w:cs="Times New Roman"/>
              <w:b w:val="0"/>
              <w:bCs w:val="0"/>
              <w:color w:val="auto"/>
              <w:sz w:val="40"/>
              <w:szCs w:val="72"/>
              <w:highlight w:val="none"/>
            </w:rPr>
            <w:t>第五部分 设备采购合同</w:t>
          </w:r>
          <w:r>
            <w:rPr>
              <w:b w:val="0"/>
              <w:bCs w:val="0"/>
              <w:color w:val="auto"/>
              <w:sz w:val="40"/>
              <w:szCs w:val="40"/>
              <w:highlight w:val="none"/>
            </w:rPr>
            <w:tab/>
          </w:r>
          <w:r>
            <w:rPr>
              <w:b w:val="0"/>
              <w:bCs w:val="0"/>
              <w:color w:val="auto"/>
              <w:sz w:val="40"/>
              <w:szCs w:val="40"/>
              <w:highlight w:val="none"/>
            </w:rPr>
            <w:fldChar w:fldCharType="begin"/>
          </w:r>
          <w:r>
            <w:rPr>
              <w:b w:val="0"/>
              <w:bCs w:val="0"/>
              <w:color w:val="auto"/>
              <w:sz w:val="40"/>
              <w:szCs w:val="40"/>
              <w:highlight w:val="none"/>
            </w:rPr>
            <w:instrText xml:space="preserve"> PAGEREF _Toc11699 \h </w:instrText>
          </w:r>
          <w:r>
            <w:rPr>
              <w:b w:val="0"/>
              <w:bCs w:val="0"/>
              <w:color w:val="auto"/>
              <w:sz w:val="40"/>
              <w:szCs w:val="40"/>
              <w:highlight w:val="none"/>
            </w:rPr>
            <w:fldChar w:fldCharType="separate"/>
          </w:r>
          <w:r>
            <w:rPr>
              <w:b w:val="0"/>
              <w:bCs w:val="0"/>
              <w:color w:val="auto"/>
              <w:sz w:val="40"/>
              <w:szCs w:val="40"/>
              <w:highlight w:val="none"/>
            </w:rPr>
            <w:t>29</w:t>
          </w:r>
          <w:r>
            <w:rPr>
              <w:b w:val="0"/>
              <w:bCs w:val="0"/>
              <w:color w:val="auto"/>
              <w:sz w:val="40"/>
              <w:szCs w:val="40"/>
              <w:highlight w:val="none"/>
            </w:rPr>
            <w:fldChar w:fldCharType="end"/>
          </w:r>
        </w:p>
        <w:p>
          <w:pPr>
            <w:pStyle w:val="27"/>
            <w:tabs>
              <w:tab w:val="right" w:leader="dot" w:pos="9070"/>
            </w:tabs>
            <w:rPr>
              <w:b w:val="0"/>
              <w:bCs/>
              <w:sz w:val="32"/>
              <w:szCs w:val="32"/>
              <w:highlight w:val="none"/>
            </w:rPr>
          </w:pPr>
          <w:r>
            <w:rPr>
              <w:rFonts w:ascii="Calibri" w:hAnsi="Calibri" w:eastAsia="宋体" w:cs="Times New Roman"/>
              <w:b w:val="0"/>
              <w:bCs w:val="0"/>
              <w:color w:val="auto"/>
              <w:kern w:val="2"/>
              <w:sz w:val="40"/>
              <w:szCs w:val="144"/>
              <w:highlight w:val="none"/>
            </w:rPr>
            <w:t>第六部分 投标档附件</w:t>
          </w:r>
          <w:r>
            <w:rPr>
              <w:b w:val="0"/>
              <w:bCs/>
              <w:color w:val="auto"/>
              <w:sz w:val="40"/>
              <w:szCs w:val="40"/>
              <w:highlight w:val="none"/>
            </w:rPr>
            <w:tab/>
          </w:r>
          <w:r>
            <w:rPr>
              <w:b w:val="0"/>
              <w:bCs/>
              <w:color w:val="auto"/>
              <w:sz w:val="40"/>
              <w:szCs w:val="40"/>
              <w:highlight w:val="none"/>
            </w:rPr>
            <w:fldChar w:fldCharType="begin"/>
          </w:r>
          <w:r>
            <w:rPr>
              <w:b w:val="0"/>
              <w:bCs/>
              <w:color w:val="auto"/>
              <w:sz w:val="40"/>
              <w:szCs w:val="40"/>
              <w:highlight w:val="none"/>
            </w:rPr>
            <w:instrText xml:space="preserve"> PAGEREF _Toc27220 \h </w:instrText>
          </w:r>
          <w:r>
            <w:rPr>
              <w:b w:val="0"/>
              <w:bCs/>
              <w:color w:val="auto"/>
              <w:sz w:val="40"/>
              <w:szCs w:val="40"/>
              <w:highlight w:val="none"/>
            </w:rPr>
            <w:fldChar w:fldCharType="separate"/>
          </w:r>
          <w:r>
            <w:rPr>
              <w:b w:val="0"/>
              <w:bCs/>
              <w:color w:val="auto"/>
              <w:sz w:val="40"/>
              <w:szCs w:val="40"/>
              <w:highlight w:val="none"/>
            </w:rPr>
            <w:t>35</w:t>
          </w:r>
          <w:r>
            <w:rPr>
              <w:b w:val="0"/>
              <w:bCs/>
              <w:color w:val="auto"/>
              <w:sz w:val="40"/>
              <w:szCs w:val="40"/>
              <w:highlight w:val="none"/>
            </w:rPr>
            <w:fldChar w:fldCharType="end"/>
          </w:r>
        </w:p>
        <w:p>
          <w:pPr>
            <w:pStyle w:val="2"/>
            <w:spacing w:line="480" w:lineRule="auto"/>
            <w:rPr>
              <w:highlight w:val="none"/>
            </w:rPr>
            <w:sectPr>
              <w:headerReference r:id="rId6" w:type="default"/>
              <w:footerReference r:id="rId7" w:type="default"/>
              <w:pgSz w:w="11906" w:h="16838"/>
              <w:pgMar w:top="1304" w:right="1418" w:bottom="1304" w:left="1418" w:header="724" w:footer="851" w:gutter="0"/>
              <w:pgNumType w:fmt="decimal"/>
              <w:cols w:space="720" w:num="1"/>
              <w:formProt w:val="0"/>
              <w:docGrid w:linePitch="290" w:charSpace="-4097"/>
            </w:sectPr>
          </w:pPr>
          <w:r>
            <w:rPr>
              <w:rFonts w:ascii="Calibri" w:hAnsi="Calibri" w:eastAsia="宋体" w:cs="Times New Roman"/>
              <w:bCs/>
              <w:kern w:val="2"/>
              <w:szCs w:val="44"/>
              <w:highlight w:val="none"/>
            </w:rPr>
            <w:fldChar w:fldCharType="end"/>
          </w:r>
        </w:p>
      </w:sdtContent>
    </w:sdt>
    <w:p>
      <w:pPr>
        <w:pStyle w:val="2"/>
        <w:numPr>
          <w:ilvl w:val="0"/>
          <w:numId w:val="1"/>
        </w:numPr>
        <w:jc w:val="center"/>
        <w:outlineLvl w:val="0"/>
        <w:rPr>
          <w:rFonts w:ascii="Calibri" w:hAnsi="Calibri" w:eastAsia="宋体" w:cs="Times New Roman"/>
          <w:b/>
          <w:bCs/>
          <w:kern w:val="2"/>
          <w:sz w:val="36"/>
          <w:szCs w:val="44"/>
          <w:highlight w:val="none"/>
        </w:rPr>
      </w:pPr>
      <w:r>
        <w:rPr>
          <w:rFonts w:ascii="Calibri" w:hAnsi="Calibri" w:eastAsia="宋体" w:cs="Times New Roman"/>
          <w:b/>
          <w:bCs/>
          <w:kern w:val="2"/>
          <w:sz w:val="36"/>
          <w:szCs w:val="44"/>
          <w:highlight w:val="none"/>
        </w:rPr>
        <w:t xml:space="preserve"> </w:t>
      </w:r>
      <w:bookmarkStart w:id="0" w:name="_Toc23295"/>
      <w:r>
        <w:rPr>
          <w:rFonts w:ascii="Calibri" w:hAnsi="Calibri" w:eastAsia="宋体" w:cs="Times New Roman"/>
          <w:b/>
          <w:bCs/>
          <w:kern w:val="2"/>
          <w:sz w:val="36"/>
          <w:szCs w:val="44"/>
          <w:highlight w:val="none"/>
        </w:rPr>
        <w:t>投标须知前附表</w:t>
      </w:r>
      <w:bookmarkEnd w:id="0"/>
    </w:p>
    <w:p>
      <w:pPr>
        <w:pStyle w:val="2"/>
        <w:jc w:val="center"/>
        <w:rPr>
          <w:rFonts w:ascii="Calibri" w:hAnsi="Calibri" w:eastAsia="宋体" w:cs="Times New Roman"/>
          <w:b/>
          <w:bCs/>
          <w:kern w:val="2"/>
          <w:sz w:val="36"/>
          <w:szCs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textAlignment w:val="auto"/>
        <w:rPr>
          <w:rFonts w:ascii="宋体" w:hAnsi="宋体" w:eastAsia="宋体" w:cs="宋体"/>
          <w:b/>
          <w:bCs/>
          <w:sz w:val="24"/>
          <w:szCs w:val="24"/>
          <w:highlight w:val="none"/>
        </w:rPr>
      </w:pPr>
      <w:r>
        <w:rPr>
          <w:rFonts w:ascii="宋体" w:hAnsi="宋体" w:eastAsia="宋体" w:cs="宋体"/>
          <w:b/>
          <w:bCs/>
          <w:sz w:val="24"/>
          <w:szCs w:val="24"/>
          <w:highlight w:val="none"/>
        </w:rPr>
        <w:t>本部分是对“投标须知”正文的具体补充和修改，如有不一致，以“前附表”为准。</w:t>
      </w:r>
    </w:p>
    <w:tbl>
      <w:tblPr>
        <w:tblStyle w:val="40"/>
        <w:tblpPr w:leftFromText="180" w:rightFromText="180" w:vertAnchor="text" w:tblpXSpec="center" w:tblpY="1"/>
        <w:tblW w:w="4998" w:type="pct"/>
        <w:jc w:val="center"/>
        <w:tblLayout w:type="autofit"/>
        <w:tblCellMar>
          <w:top w:w="0" w:type="dxa"/>
          <w:left w:w="28" w:type="dxa"/>
          <w:bottom w:w="0" w:type="dxa"/>
          <w:right w:w="28" w:type="dxa"/>
        </w:tblCellMar>
      </w:tblPr>
      <w:tblGrid>
        <w:gridCol w:w="602"/>
        <w:gridCol w:w="8520"/>
      </w:tblGrid>
      <w:tr>
        <w:tblPrEx>
          <w:tblCellMar>
            <w:top w:w="0" w:type="dxa"/>
            <w:left w:w="28" w:type="dxa"/>
            <w:bottom w:w="0" w:type="dxa"/>
            <w:right w:w="28" w:type="dxa"/>
          </w:tblCellMar>
        </w:tblPrEx>
        <w:trPr>
          <w:trHeight w:val="23" w:hRule="atLeast"/>
          <w:tblHeader/>
          <w:jc w:val="center"/>
        </w:trPr>
        <w:tc>
          <w:tcPr>
            <w:tcW w:w="330" w:type="pct"/>
            <w:tcBorders>
              <w:top w:val="single" w:color="000000" w:sz="2" w:space="0"/>
              <w:left w:val="single" w:color="000000" w:sz="2" w:space="0"/>
              <w:bottom w:val="single" w:color="000000" w:sz="2" w:space="0"/>
              <w:right w:val="single" w:color="000000" w:sz="2" w:space="0"/>
            </w:tcBorders>
            <w:shd w:val="clear" w:color="auto" w:fill="E2EFD9"/>
            <w:vAlign w:val="center"/>
          </w:tcPr>
          <w:p>
            <w:pPr>
              <w:widowControl w:val="0"/>
              <w:spacing w:before="0" w:after="0"/>
              <w:jc w:val="center"/>
              <w:rPr>
                <w:rStyle w:val="110"/>
                <w:rFonts w:ascii="宋体" w:hAnsi="宋体" w:eastAsia="宋体" w:cs="宋体"/>
                <w:b/>
                <w:sz w:val="28"/>
                <w:szCs w:val="28"/>
                <w:highlight w:val="none"/>
              </w:rPr>
            </w:pPr>
            <w:r>
              <w:rPr>
                <w:rStyle w:val="110"/>
                <w:rFonts w:ascii="宋体" w:hAnsi="宋体" w:eastAsia="宋体" w:cs="宋体"/>
                <w:b/>
                <w:sz w:val="28"/>
                <w:szCs w:val="28"/>
                <w:highlight w:val="none"/>
              </w:rPr>
              <w:t>序号</w:t>
            </w:r>
          </w:p>
        </w:tc>
        <w:tc>
          <w:tcPr>
            <w:tcW w:w="4669" w:type="pct"/>
            <w:tcBorders>
              <w:top w:val="single" w:color="000000" w:sz="2" w:space="0"/>
              <w:left w:val="single" w:color="000000" w:sz="2" w:space="0"/>
              <w:bottom w:val="single" w:color="000000" w:sz="2" w:space="0"/>
              <w:right w:val="single" w:color="000000" w:sz="2" w:space="0"/>
            </w:tcBorders>
            <w:shd w:val="clear" w:color="auto" w:fill="E2EFD9"/>
            <w:vAlign w:val="center"/>
          </w:tcPr>
          <w:p>
            <w:pPr>
              <w:widowControl w:val="0"/>
              <w:spacing w:before="0" w:after="0"/>
              <w:ind w:firstLine="562"/>
              <w:jc w:val="center"/>
              <w:rPr>
                <w:rFonts w:ascii="宋体" w:hAnsi="宋体" w:eastAsia="宋体" w:cs="宋体"/>
                <w:b/>
                <w:bCs/>
                <w:sz w:val="28"/>
                <w:szCs w:val="28"/>
                <w:highlight w:val="none"/>
              </w:rPr>
            </w:pPr>
            <w:r>
              <w:rPr>
                <w:rStyle w:val="110"/>
                <w:rFonts w:ascii="宋体" w:hAnsi="宋体" w:eastAsia="宋体" w:cs="宋体"/>
                <w:b/>
                <w:sz w:val="28"/>
                <w:szCs w:val="28"/>
                <w:highlight w:val="none"/>
              </w:rPr>
              <w:t>编  列  内  容</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1.项目说明</w:t>
            </w:r>
          </w:p>
        </w:tc>
      </w:tr>
      <w:tr>
        <w:tblPrEx>
          <w:tblCellMar>
            <w:top w:w="0" w:type="dxa"/>
            <w:left w:w="28" w:type="dxa"/>
            <w:bottom w:w="0" w:type="dxa"/>
            <w:right w:w="28" w:type="dxa"/>
          </w:tblCellMar>
        </w:tblPrEx>
        <w:trPr>
          <w:trHeight w:val="23" w:hRule="atLeast"/>
          <w:jc w:val="center"/>
        </w:trPr>
        <w:tc>
          <w:tcPr>
            <w:tcW w:w="330"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lang w:eastAsia="zh-CN"/>
              </w:rPr>
            </w:pPr>
            <w:r>
              <w:rPr>
                <w:rFonts w:ascii="宋体" w:hAnsi="宋体" w:eastAsia="宋体" w:cs="宋体"/>
                <w:b/>
                <w:bCs/>
                <w:sz w:val="24"/>
                <w:szCs w:val="24"/>
                <w:highlight w:val="none"/>
              </w:rPr>
              <w:t>项目名称：</w:t>
            </w:r>
            <w:r>
              <w:rPr>
                <w:rFonts w:hint="eastAsia" w:ascii="宋体" w:hAnsi="宋体" w:eastAsia="宋体" w:cs="宋体"/>
                <w:b/>
                <w:bCs/>
                <w:sz w:val="24"/>
                <w:szCs w:val="24"/>
                <w:highlight w:val="none"/>
                <w:lang w:eastAsia="zh-CN"/>
              </w:rPr>
              <w:t>曲轴磨床增加共振点补偿功能项目</w:t>
            </w:r>
          </w:p>
        </w:tc>
      </w:tr>
      <w:tr>
        <w:tblPrEx>
          <w:tblCellMar>
            <w:top w:w="0" w:type="dxa"/>
            <w:left w:w="28" w:type="dxa"/>
            <w:bottom w:w="0" w:type="dxa"/>
            <w:right w:w="28" w:type="dxa"/>
          </w:tblCellMar>
        </w:tblPrEx>
        <w:trPr>
          <w:trHeight w:val="23" w:hRule="atLeast"/>
          <w:jc w:val="center"/>
        </w:trPr>
        <w:tc>
          <w:tcPr>
            <w:tcW w:w="330"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20"/>
              <w:rPr>
                <w:highlight w:val="none"/>
              </w:rPr>
            </w:pP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hint="default" w:ascii="宋体" w:hAnsi="宋体" w:eastAsia="宋体" w:cs="宋体"/>
                <w:b/>
                <w:bCs/>
                <w:sz w:val="24"/>
                <w:szCs w:val="24"/>
                <w:highlight w:val="none"/>
                <w:lang w:val="en-US" w:eastAsia="zh-CN"/>
              </w:rPr>
            </w:pPr>
            <w:r>
              <w:rPr>
                <w:rFonts w:ascii="宋体" w:hAnsi="宋体" w:eastAsia="宋体" w:cs="宋体"/>
                <w:b/>
                <w:bCs/>
                <w:sz w:val="24"/>
                <w:szCs w:val="24"/>
                <w:highlight w:val="none"/>
              </w:rPr>
              <w:t>项目编号：</w:t>
            </w:r>
          </w:p>
        </w:tc>
      </w:tr>
      <w:tr>
        <w:tblPrEx>
          <w:tblCellMar>
            <w:top w:w="0" w:type="dxa"/>
            <w:left w:w="28" w:type="dxa"/>
            <w:bottom w:w="0" w:type="dxa"/>
            <w:right w:w="28" w:type="dxa"/>
          </w:tblCellMar>
        </w:tblPrEx>
        <w:trPr>
          <w:trHeight w:val="23" w:hRule="atLeast"/>
          <w:jc w:val="center"/>
        </w:trPr>
        <w:tc>
          <w:tcPr>
            <w:tcW w:w="330"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1.2</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lang w:eastAsia="zh-CN"/>
              </w:rPr>
            </w:pPr>
            <w:r>
              <w:rPr>
                <w:rFonts w:ascii="宋体" w:hAnsi="宋体" w:eastAsia="宋体" w:cs="宋体"/>
                <w:b/>
                <w:bCs/>
                <w:sz w:val="24"/>
                <w:szCs w:val="24"/>
                <w:highlight w:val="none"/>
              </w:rPr>
              <w:t>招标内容：</w:t>
            </w:r>
            <w:r>
              <w:rPr>
                <w:rFonts w:hint="eastAsia" w:ascii="宋体" w:hAnsi="宋体" w:eastAsia="宋体" w:cs="宋体"/>
                <w:b/>
                <w:bCs/>
                <w:sz w:val="24"/>
                <w:szCs w:val="24"/>
                <w:highlight w:val="none"/>
                <w:lang w:eastAsia="zh-CN"/>
              </w:rPr>
              <w:t>曲轴磨床增加复合圆角磨削功能</w:t>
            </w:r>
          </w:p>
        </w:tc>
      </w:tr>
      <w:tr>
        <w:tblPrEx>
          <w:tblCellMar>
            <w:top w:w="0" w:type="dxa"/>
            <w:left w:w="28" w:type="dxa"/>
            <w:bottom w:w="0" w:type="dxa"/>
            <w:right w:w="28" w:type="dxa"/>
          </w:tblCellMar>
        </w:tblPrEx>
        <w:trPr>
          <w:trHeight w:val="23" w:hRule="atLeast"/>
          <w:jc w:val="center"/>
        </w:trPr>
        <w:tc>
          <w:tcPr>
            <w:tcW w:w="330"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20"/>
              <w:rPr>
                <w:highlight w:val="none"/>
              </w:rPr>
            </w:pP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招标形式：公开招标</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1.3</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bCs/>
                <w:kern w:val="0"/>
                <w:sz w:val="24"/>
                <w:szCs w:val="24"/>
                <w:highlight w:val="none"/>
              </w:rPr>
            </w:pPr>
            <w:r>
              <w:rPr>
                <w:rFonts w:ascii="宋体" w:hAnsi="宋体" w:eastAsia="宋体" w:cs="宋体"/>
                <w:b/>
                <w:kern w:val="0"/>
                <w:sz w:val="24"/>
                <w:szCs w:val="24"/>
                <w:highlight w:val="none"/>
              </w:rPr>
              <w:t>招标人名称：</w:t>
            </w:r>
            <w:r>
              <w:rPr>
                <w:rFonts w:ascii="宋体" w:hAnsi="宋体" w:eastAsia="宋体" w:cs="宋体"/>
                <w:sz w:val="24"/>
                <w:szCs w:val="24"/>
                <w:highlight w:val="none"/>
                <w:u w:val="single"/>
              </w:rPr>
              <w:t>中国重汽集团济南动力有限公司</w:t>
            </w:r>
            <w:r>
              <w:rPr>
                <w:rFonts w:ascii="宋体" w:hAnsi="宋体" w:eastAsia="宋体" w:cs="宋体"/>
                <w:bCs/>
                <w:kern w:val="0"/>
                <w:sz w:val="24"/>
                <w:szCs w:val="24"/>
                <w:highlight w:val="none"/>
              </w:rPr>
              <w:t xml:space="preserve"> </w:t>
            </w:r>
          </w:p>
          <w:p>
            <w:pPr>
              <w:widowControl w:val="0"/>
              <w:spacing w:before="0" w:after="0"/>
              <w:ind w:firstLine="482"/>
              <w:rPr>
                <w:rFonts w:ascii="宋体" w:hAnsi="宋体" w:eastAsia="宋体" w:cs="宋体"/>
                <w:sz w:val="24"/>
                <w:szCs w:val="24"/>
                <w:highlight w:val="none"/>
              </w:rPr>
            </w:pPr>
            <w:r>
              <w:rPr>
                <w:rFonts w:ascii="宋体" w:hAnsi="宋体" w:eastAsia="宋体" w:cs="宋体"/>
                <w:b/>
                <w:kern w:val="0"/>
                <w:sz w:val="24"/>
                <w:szCs w:val="24"/>
                <w:highlight w:val="none"/>
              </w:rPr>
              <w:t>招标人地址：</w:t>
            </w:r>
            <w:r>
              <w:rPr>
                <w:rFonts w:ascii="宋体" w:hAnsi="宋体" w:eastAsia="宋体" w:cs="宋体"/>
                <w:sz w:val="24"/>
                <w:szCs w:val="24"/>
                <w:highlight w:val="none"/>
                <w:u w:val="single"/>
              </w:rPr>
              <w:t>济南市</w:t>
            </w:r>
            <w:r>
              <w:rPr>
                <w:rFonts w:hint="eastAsia" w:ascii="宋体" w:hAnsi="宋体" w:eastAsia="宋体" w:cs="宋体"/>
                <w:sz w:val="24"/>
                <w:szCs w:val="24"/>
                <w:highlight w:val="none"/>
                <w:u w:val="single"/>
              </w:rPr>
              <w:t>章丘世纪大道7777号</w:t>
            </w:r>
            <w:r>
              <w:rPr>
                <w:rFonts w:ascii="宋体" w:hAnsi="宋体" w:eastAsia="宋体" w:cs="宋体"/>
                <w:sz w:val="24"/>
                <w:szCs w:val="24"/>
                <w:highlight w:val="none"/>
                <w:u w:val="single"/>
              </w:rPr>
              <w:t xml:space="preserve"> </w:t>
            </w:r>
          </w:p>
          <w:p>
            <w:pPr>
              <w:widowControl w:val="0"/>
              <w:spacing w:before="0" w:after="0"/>
              <w:ind w:firstLine="482"/>
              <w:rPr>
                <w:rFonts w:ascii="宋体" w:hAnsi="宋体" w:eastAsia="宋体" w:cs="宋体"/>
                <w:bCs/>
                <w:kern w:val="0"/>
                <w:sz w:val="24"/>
                <w:szCs w:val="24"/>
                <w:highlight w:val="none"/>
                <w:lang w:val="en-US" w:eastAsia="zh-CN"/>
              </w:rPr>
            </w:pPr>
            <w:r>
              <w:rPr>
                <w:rFonts w:ascii="宋体" w:hAnsi="宋体" w:eastAsia="宋体" w:cs="宋体"/>
                <w:b/>
                <w:kern w:val="0"/>
                <w:sz w:val="24"/>
                <w:szCs w:val="24"/>
                <w:highlight w:val="none"/>
              </w:rPr>
              <w:t>商务联系人：</w:t>
            </w:r>
            <w:r>
              <w:rPr>
                <w:rFonts w:hint="eastAsia" w:ascii="宋体" w:hAnsi="宋体" w:eastAsia="宋体" w:cs="宋体"/>
                <w:b/>
                <w:kern w:val="0"/>
                <w:sz w:val="24"/>
                <w:szCs w:val="24"/>
                <w:highlight w:val="none"/>
                <w:lang w:val="en-US" w:eastAsia="zh-CN"/>
              </w:rPr>
              <w:t>崔毅刚</w:t>
            </w:r>
          </w:p>
          <w:p>
            <w:pPr>
              <w:pStyle w:val="2"/>
              <w:widowControl w:val="0"/>
              <w:spacing w:before="0" w:after="0"/>
              <w:ind w:firstLine="482"/>
              <w:rPr>
                <w:rFonts w:hint="eastAsia"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eastAsia="zh-CN"/>
              </w:rPr>
              <w:t>15863137802</w:t>
            </w:r>
          </w:p>
          <w:p>
            <w:pPr>
              <w:widowControl w:val="0"/>
              <w:spacing w:before="0" w:after="0"/>
              <w:ind w:firstLine="482"/>
              <w:rPr>
                <w:rFonts w:ascii="宋体" w:hAnsi="宋体" w:eastAsia="宋体" w:cs="宋体"/>
                <w:bCs/>
                <w:kern w:val="0"/>
                <w:sz w:val="24"/>
                <w:szCs w:val="24"/>
                <w:highlight w:val="none"/>
                <w:lang w:val="en-US" w:eastAsia="zh-CN" w:bidi="ar-SA"/>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cuiyigang@sinotruk.com</w:t>
            </w:r>
            <w:r>
              <w:rPr>
                <w:rFonts w:ascii="宋体" w:hAnsi="宋体" w:eastAsia="宋体" w:cs="宋体"/>
                <w:bCs/>
                <w:kern w:val="0"/>
                <w:sz w:val="24"/>
                <w:szCs w:val="24"/>
                <w:highlight w:val="none"/>
                <w:lang w:val="en-US" w:eastAsia="zh-CN" w:bidi="ar-SA"/>
              </w:rPr>
              <w:fldChar w:fldCharType="end"/>
            </w:r>
          </w:p>
          <w:p>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李图河</w:t>
            </w:r>
          </w:p>
          <w:p>
            <w:pPr>
              <w:pStyle w:val="2"/>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13245314315</w:t>
            </w:r>
          </w:p>
          <w:p>
            <w:pPr>
              <w:widowControl w:val="0"/>
              <w:spacing w:before="0" w:after="0" w:line="320" w:lineRule="exact"/>
              <w:ind w:firstLine="480"/>
              <w:rPr>
                <w:rFonts w:ascii="宋体" w:hAnsi="宋体" w:eastAsia="宋体" w:cs="宋体"/>
                <w:sz w:val="24"/>
                <w:szCs w:val="24"/>
                <w:highlight w:val="none"/>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lituhe@sinotruk.com</w:t>
            </w:r>
            <w:r>
              <w:rPr>
                <w:rFonts w:ascii="宋体" w:hAnsi="宋体" w:eastAsia="宋体" w:cs="宋体"/>
                <w:bCs/>
                <w:kern w:val="0"/>
                <w:sz w:val="24"/>
                <w:szCs w:val="24"/>
                <w:highlight w:val="none"/>
                <w:lang w:val="en-US" w:eastAsia="zh-CN" w:bidi="ar-SA"/>
              </w:rPr>
              <w:fldChar w:fldCharType="end"/>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1.4</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资金来源：</w:t>
            </w:r>
            <w:r>
              <w:rPr>
                <w:rFonts w:ascii="宋体" w:hAnsi="宋体" w:eastAsia="宋体" w:cs="宋体"/>
                <w:kern w:val="0"/>
                <w:sz w:val="24"/>
                <w:szCs w:val="24"/>
                <w:highlight w:val="none"/>
              </w:rPr>
              <w:t>企业自筹，已落实。</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1.5</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w:t>
            </w:r>
            <w:r>
              <w:rPr>
                <w:rFonts w:ascii="宋体" w:hAnsi="宋体" w:eastAsia="宋体" w:cs="宋体"/>
                <w:sz w:val="24"/>
                <w:szCs w:val="24"/>
                <w:highlight w:val="none"/>
              </w:rPr>
              <w:t>如需要，由投标人自行勘察现场，进行合理报价。投标总报价应包括设备费、原厂服务费及相关配件、随机资料、保险、税费、运杂、安装调试、与其他专业配合及可预见的风险以及其他不可预见等全部费。</w:t>
            </w:r>
          </w:p>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报价货币：</w:t>
            </w:r>
            <w:r>
              <w:rPr>
                <w:rFonts w:ascii="宋体" w:hAnsi="宋体" w:eastAsia="宋体" w:cs="宋体"/>
                <w:sz w:val="24"/>
                <w:szCs w:val="24"/>
                <w:highlight w:val="none"/>
              </w:rPr>
              <w:t>人民币（应同时报含税价和不含税价，写明税率）。</w:t>
            </w:r>
          </w:p>
          <w:p>
            <w:pPr>
              <w:widowControl w:val="0"/>
              <w:spacing w:before="0" w:after="0"/>
              <w:ind w:firstLine="482"/>
              <w:rPr>
                <w:highlight w:val="none"/>
              </w:rPr>
            </w:pPr>
            <w:r>
              <w:rPr>
                <w:rFonts w:ascii="宋体" w:hAnsi="宋体" w:eastAsia="宋体" w:cs="宋体"/>
                <w:b/>
                <w:bCs/>
                <w:sz w:val="24"/>
                <w:szCs w:val="24"/>
                <w:highlight w:val="none"/>
              </w:rPr>
              <w:t xml:space="preserve">投标限价: </w:t>
            </w:r>
            <w:r>
              <w:rPr>
                <w:rFonts w:hint="eastAsia" w:ascii="宋体" w:hAnsi="宋体" w:eastAsia="宋体" w:cs="宋体"/>
                <w:b/>
                <w:bCs/>
                <w:color w:val="FF0000"/>
                <w:sz w:val="24"/>
                <w:szCs w:val="24"/>
                <w:highlight w:val="none"/>
                <w:lang w:val="en-US" w:eastAsia="zh-CN"/>
              </w:rPr>
              <w:t xml:space="preserve"> 20   </w:t>
            </w:r>
            <w:r>
              <w:rPr>
                <w:rFonts w:ascii="宋体" w:hAnsi="宋体" w:eastAsia="宋体" w:cs="宋体"/>
                <w:color w:val="FF0000"/>
                <w:sz w:val="24"/>
                <w:szCs w:val="24"/>
                <w:highlight w:val="none"/>
              </w:rPr>
              <w:t>万</w:t>
            </w:r>
            <w:r>
              <w:rPr>
                <w:rFonts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不</w:t>
            </w:r>
            <w:r>
              <w:rPr>
                <w:rFonts w:ascii="宋体" w:hAnsi="宋体" w:eastAsia="宋体" w:cs="宋体"/>
                <w:sz w:val="24"/>
                <w:szCs w:val="24"/>
                <w:highlight w:val="none"/>
              </w:rPr>
              <w:t>含税) ，超过投标限价无法投标。</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1.6</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2"/>
              <w:keepNext w:val="0"/>
              <w:keepLines w:val="0"/>
              <w:pageBreakBefore w:val="0"/>
              <w:widowControl w:val="0"/>
              <w:kinsoku/>
              <w:wordWrap/>
              <w:overflowPunct w:val="0"/>
              <w:topLinePunct w:val="0"/>
              <w:autoSpaceDE/>
              <w:autoSpaceDN/>
              <w:bidi w:val="0"/>
              <w:adjustRightInd/>
              <w:snapToGrid/>
              <w:spacing w:before="0" w:after="0"/>
              <w:ind w:left="0" w:firstLine="482" w:firstLineChars="200"/>
              <w:textAlignment w:val="auto"/>
              <w:rPr>
                <w:rFonts w:eastAsia="宋体" w:cs="宋体"/>
                <w:b/>
                <w:bCs/>
                <w:color w:val="FF0000"/>
                <w:sz w:val="24"/>
                <w:szCs w:val="24"/>
                <w:highlight w:val="none"/>
              </w:rPr>
            </w:pPr>
            <w:r>
              <w:rPr>
                <w:rFonts w:eastAsia="宋体" w:cs="宋体"/>
                <w:b/>
                <w:bCs/>
                <w:color w:val="000000"/>
                <w:sz w:val="24"/>
                <w:szCs w:val="24"/>
                <w:highlight w:val="none"/>
              </w:rPr>
              <w:t>投标人条件：</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1.拟标投人必须是在中华人民共和国境内注册的独立法人机构，具有独立承担民事责任能力；注册资金不少于</w:t>
            </w:r>
            <w:r>
              <w:rPr>
                <w:rFonts w:hint="eastAsia" w:eastAsia="宋体" w:cs="宋体"/>
                <w:b/>
                <w:color w:val="FF0000"/>
                <w:sz w:val="24"/>
                <w:szCs w:val="24"/>
                <w:highlight w:val="none"/>
                <w:u w:val="single"/>
                <w:lang w:val="en-US" w:eastAsia="zh-CN"/>
              </w:rPr>
              <w:t>5</w:t>
            </w:r>
            <w:r>
              <w:rPr>
                <w:rFonts w:eastAsia="宋体" w:cs="宋体"/>
                <w:b/>
                <w:color w:val="FF0000"/>
                <w:sz w:val="24"/>
                <w:szCs w:val="24"/>
                <w:highlight w:val="none"/>
                <w:u w:val="single"/>
              </w:rPr>
              <w:t>0万</w:t>
            </w:r>
            <w:r>
              <w:rPr>
                <w:rFonts w:eastAsia="宋体" w:cs="宋体"/>
                <w:color w:val="000000"/>
                <w:sz w:val="24"/>
                <w:szCs w:val="24"/>
                <w:highlight w:val="none"/>
              </w:rPr>
              <w:t>人民币（或等值其他货币）；公司成立</w:t>
            </w:r>
            <w:r>
              <w:rPr>
                <w:rFonts w:eastAsia="宋体" w:cs="宋体"/>
                <w:b/>
                <w:color w:val="FF0000"/>
                <w:sz w:val="24"/>
                <w:szCs w:val="24"/>
                <w:highlight w:val="none"/>
                <w:u w:val="single"/>
              </w:rPr>
              <w:t>三年以上</w:t>
            </w:r>
            <w:r>
              <w:rPr>
                <w:rFonts w:eastAsia="宋体" w:cs="宋体"/>
                <w:color w:val="000000"/>
                <w:sz w:val="24"/>
                <w:szCs w:val="24"/>
                <w:highlight w:val="none"/>
              </w:rPr>
              <w:t>（以营业执照成立日期到开标当日满三年为准），且经营范围满足招标人需求；并在人员、设备、资金等方面具有承担本项目的能力；</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2.拟投标人应提供营业执照</w:t>
            </w:r>
            <w:r>
              <w:rPr>
                <w:rFonts w:eastAsia="宋体" w:cs="宋体"/>
                <w:b/>
                <w:sz w:val="24"/>
                <w:szCs w:val="24"/>
                <w:highlight w:val="none"/>
              </w:rPr>
              <w:t>副本原件和扫描件（需盖章）</w:t>
            </w:r>
            <w:r>
              <w:rPr>
                <w:rFonts w:eastAsia="宋体" w:cs="宋体"/>
                <w:color w:val="000000"/>
                <w:sz w:val="24"/>
                <w:szCs w:val="24"/>
                <w:highlight w:val="none"/>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3.拟投标人应提供法定代表人资格证明档；</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4.</w:t>
            </w:r>
            <w:r>
              <w:rPr>
                <w:rFonts w:eastAsia="宋体" w:cs="宋体"/>
                <w:sz w:val="24"/>
                <w:szCs w:val="24"/>
                <w:highlight w:val="none"/>
              </w:rPr>
              <w:t>拟投标人在国家市场监督管理总局的《国家企业信用信息公示系统》中查询不存在不良记录</w:t>
            </w:r>
            <w:r>
              <w:rPr>
                <w:rFonts w:eastAsia="宋体" w:cs="宋体"/>
                <w:color w:val="000000"/>
                <w:sz w:val="24"/>
                <w:szCs w:val="24"/>
                <w:highlight w:val="none"/>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5.拟投标人不存在严重违规或被列入招标人“黑名单”的声明；</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auto"/>
                <w:sz w:val="24"/>
                <w:szCs w:val="24"/>
                <w:highlight w:val="none"/>
              </w:rPr>
            </w:pPr>
            <w:r>
              <w:rPr>
                <w:rFonts w:eastAsia="宋体" w:cs="宋体"/>
                <w:color w:val="000000"/>
                <w:sz w:val="24"/>
                <w:szCs w:val="24"/>
                <w:highlight w:val="none"/>
              </w:rPr>
              <w:t>6.</w:t>
            </w:r>
            <w:r>
              <w:rPr>
                <w:rFonts w:eastAsia="宋体" w:cs="宋体"/>
                <w:color w:val="auto"/>
                <w:sz w:val="24"/>
                <w:szCs w:val="24"/>
                <w:highlight w:val="none"/>
              </w:rPr>
              <w:t>拟投标人</w:t>
            </w:r>
            <w:r>
              <w:rPr>
                <w:rFonts w:eastAsia="宋体" w:cs="宋体"/>
                <w:color w:val="auto"/>
                <w:sz w:val="24"/>
                <w:szCs w:val="24"/>
                <w:highlight w:val="none"/>
                <w:lang w:eastAsia="zh-CN"/>
              </w:rPr>
              <w:t>202</w:t>
            </w:r>
            <w:r>
              <w:rPr>
                <w:rFonts w:hint="eastAsia" w:eastAsia="宋体" w:cs="宋体"/>
                <w:color w:val="auto"/>
                <w:sz w:val="24"/>
                <w:szCs w:val="24"/>
                <w:highlight w:val="none"/>
                <w:lang w:val="en-US" w:eastAsia="zh-CN"/>
              </w:rPr>
              <w:t>1</w:t>
            </w:r>
            <w:r>
              <w:rPr>
                <w:rFonts w:eastAsia="宋体" w:cs="宋体"/>
                <w:color w:val="auto"/>
                <w:sz w:val="24"/>
                <w:szCs w:val="24"/>
                <w:highlight w:val="none"/>
                <w:lang w:eastAsia="zh-CN"/>
              </w:rPr>
              <w:t>年1月1日</w:t>
            </w:r>
            <w:r>
              <w:rPr>
                <w:rFonts w:eastAsia="宋体" w:cs="宋体"/>
                <w:color w:val="auto"/>
                <w:sz w:val="24"/>
                <w:szCs w:val="24"/>
                <w:highlight w:val="none"/>
              </w:rPr>
              <w:t>至今</w:t>
            </w:r>
            <w:r>
              <w:rPr>
                <w:rFonts w:ascii="宋体" w:hAnsi="宋体" w:eastAsia="宋体" w:cs="宋体"/>
                <w:color w:val="auto"/>
                <w:sz w:val="24"/>
                <w:szCs w:val="24"/>
                <w:highlight w:val="none"/>
              </w:rPr>
              <w:t>经会计师事务所审计且出具无保留意见的财务审计报告，并加盖公章，包括但不限于报告页、经审计的资产负债表、利润表、现金流量表及报表附注</w:t>
            </w:r>
            <w:r>
              <w:rPr>
                <w:rFonts w:eastAsia="宋体" w:cs="宋体"/>
                <w:color w:val="auto"/>
                <w:sz w:val="24"/>
                <w:szCs w:val="24"/>
                <w:highlight w:val="none"/>
              </w:rPr>
              <w:t>（如投标人公司没有经审计的财务报告，可提供加盖公章的近</w:t>
            </w:r>
            <w:r>
              <w:rPr>
                <w:rFonts w:eastAsia="宋体" w:cs="宋体"/>
                <w:color w:val="auto"/>
                <w:sz w:val="24"/>
                <w:szCs w:val="24"/>
                <w:highlight w:val="none"/>
                <w:lang w:val="en-US" w:eastAsia="zh-CN"/>
              </w:rPr>
              <w:t>三</w:t>
            </w:r>
            <w:r>
              <w:rPr>
                <w:rFonts w:eastAsia="宋体" w:cs="宋体"/>
                <w:color w:val="auto"/>
                <w:sz w:val="24"/>
                <w:szCs w:val="24"/>
                <w:highlight w:val="none"/>
              </w:rPr>
              <w:t>年财务报表，包括但不限于资产负债表、利润表、现金流量表）；</w:t>
            </w:r>
          </w:p>
          <w:p>
            <w:pPr>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kern w:val="0"/>
                <w:sz w:val="24"/>
                <w:szCs w:val="24"/>
                <w:highlight w:val="none"/>
                <w:lang w:bidi="ar"/>
              </w:rPr>
            </w:pPr>
            <w:r>
              <w:rPr>
                <w:rFonts w:eastAsia="宋体" w:cs="宋体"/>
                <w:color w:val="000000"/>
                <w:kern w:val="0"/>
                <w:sz w:val="24"/>
                <w:szCs w:val="24"/>
                <w:highlight w:val="none"/>
              </w:rPr>
              <w:t>7.拟投标人202</w:t>
            </w:r>
            <w:r>
              <w:rPr>
                <w:rFonts w:hint="eastAsia" w:eastAsia="宋体" w:cs="宋体"/>
                <w:color w:val="000000"/>
                <w:kern w:val="0"/>
                <w:sz w:val="24"/>
                <w:szCs w:val="24"/>
                <w:highlight w:val="none"/>
                <w:lang w:val="en-US" w:eastAsia="zh-CN"/>
              </w:rPr>
              <w:t>1</w:t>
            </w:r>
            <w:r>
              <w:rPr>
                <w:rFonts w:eastAsia="宋体" w:cs="宋体"/>
                <w:color w:val="000000"/>
                <w:kern w:val="0"/>
                <w:sz w:val="24"/>
                <w:szCs w:val="24"/>
                <w:highlight w:val="none"/>
              </w:rPr>
              <w:t>年1月1日至今，有与本次招标内容相同或类似项目业绩</w:t>
            </w:r>
            <w:r>
              <w:rPr>
                <w:rFonts w:hint="eastAsia" w:eastAsia="宋体" w:cs="宋体"/>
                <w:color w:val="000000"/>
                <w:kern w:val="0"/>
                <w:sz w:val="24"/>
                <w:szCs w:val="24"/>
                <w:highlight w:val="none"/>
                <w:lang w:val="en-US" w:eastAsia="zh-CN"/>
              </w:rPr>
              <w:t>的请注明</w:t>
            </w:r>
            <w:r>
              <w:rPr>
                <w:rFonts w:eastAsia="宋体" w:cs="宋体"/>
                <w:color w:val="000000"/>
                <w:kern w:val="0"/>
                <w:sz w:val="24"/>
                <w:szCs w:val="24"/>
                <w:highlight w:val="none"/>
              </w:rPr>
              <w:t>，近三年内无因服务不当而造成重大事故</w:t>
            </w:r>
            <w:r>
              <w:rPr>
                <w:rFonts w:ascii="宋体" w:hAnsi="宋体" w:eastAsia="宋体" w:cs="宋体"/>
                <w:color w:val="auto"/>
                <w:kern w:val="2"/>
                <w:sz w:val="24"/>
                <w:szCs w:val="24"/>
                <w:highlight w:val="none"/>
                <w:lang w:val="en-US" w:eastAsia="zh-CN" w:bidi="ar-SA"/>
              </w:rPr>
              <w:t>；</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8.拟投标人近三年内在经营活动中无与本项目有关的违法及重大违规情况；</w:t>
            </w:r>
          </w:p>
          <w:p>
            <w:pPr>
              <w:pStyle w:val="2"/>
              <w:keepNext w:val="0"/>
              <w:keepLines w:val="0"/>
              <w:pageBreakBefore w:val="0"/>
              <w:widowControl w:val="0"/>
              <w:kinsoku/>
              <w:wordWrap/>
              <w:overflowPunct w:val="0"/>
              <w:topLinePunct w:val="0"/>
              <w:autoSpaceDE/>
              <w:autoSpaceDN/>
              <w:bidi w:val="0"/>
              <w:adjustRightInd/>
              <w:snapToGrid/>
              <w:spacing w:before="0" w:after="0"/>
              <w:ind w:left="0" w:firstLine="480" w:firstLineChars="200"/>
              <w:textAlignment w:val="auto"/>
              <w:rPr>
                <w:rFonts w:eastAsia="宋体" w:cs="宋体"/>
                <w:color w:val="000000"/>
                <w:sz w:val="24"/>
                <w:szCs w:val="24"/>
                <w:highlight w:val="none"/>
              </w:rPr>
            </w:pPr>
            <w:r>
              <w:rPr>
                <w:rFonts w:eastAsia="宋体" w:cs="宋体"/>
                <w:color w:val="000000"/>
                <w:sz w:val="24"/>
                <w:szCs w:val="24"/>
                <w:highlight w:val="none"/>
              </w:rPr>
              <w:t>9.</w:t>
            </w:r>
            <w:r>
              <w:rPr>
                <w:rFonts w:hint="eastAsia" w:hAnsi="宋体" w:eastAsia="宋体" w:cs="宋体"/>
                <w:color w:val="000000"/>
                <w:sz w:val="24"/>
                <w:szCs w:val="24"/>
                <w:highlight w:val="none"/>
              </w:rPr>
              <w:t>拟投标人须认可招标人的工作指令，包括节、假日能正常开展工作的要求；</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10.拟投标人最近半年纳税正常；</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11.拟投标人信用证明材料（征信报告）未显示异常；</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12.拟投标人的直接或间接股东、法定代表人、董事、监事、高管非重汽员工及其亲属；</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13.如为代理商投标，需获得生产厂家正式授权，提供授权书原件，保证提供原厂售后服务并提供原厂售后服务承诺书原件；</w:t>
            </w:r>
          </w:p>
          <w:p>
            <w:pPr>
              <w:pStyle w:val="2"/>
              <w:widowControl w:val="0"/>
              <w:spacing w:before="0" w:after="0"/>
              <w:ind w:firstLine="480"/>
              <w:rPr>
                <w:rFonts w:eastAsia="宋体" w:cs="宋体"/>
                <w:color w:val="000000"/>
                <w:sz w:val="24"/>
                <w:szCs w:val="24"/>
                <w:highlight w:val="none"/>
              </w:rPr>
            </w:pPr>
            <w:bookmarkStart w:id="1" w:name="OLE_LINK7"/>
            <w:r>
              <w:rPr>
                <w:rFonts w:eastAsia="宋体" w:cs="宋体"/>
                <w:color w:val="000000"/>
                <w:sz w:val="24"/>
                <w:szCs w:val="24"/>
                <w:highlight w:val="none"/>
              </w:rPr>
              <w:t>14.</w:t>
            </w:r>
            <w:r>
              <w:rPr>
                <w:rFonts w:eastAsia="宋体" w:cs="宋体"/>
                <w:b/>
                <w:bCs/>
                <w:color w:val="000000"/>
                <w:sz w:val="24"/>
                <w:szCs w:val="24"/>
                <w:highlight w:val="none"/>
              </w:rPr>
              <w:t>本项目不接受联合体投标，</w:t>
            </w:r>
            <w:r>
              <w:rPr>
                <w:rFonts w:eastAsia="宋体" w:cs="宋体"/>
                <w:color w:val="000000"/>
                <w:sz w:val="24"/>
                <w:szCs w:val="24"/>
                <w:highlight w:val="none"/>
              </w:rPr>
              <w:t>拟投标人必须是最终投标单位和签订合同单位，不得以任何理由将已中标项目以任何形式分包或转包给其他单位；</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15.</w:t>
            </w:r>
            <w:r>
              <w:rPr>
                <w:rFonts w:eastAsia="宋体" w:cs="宋体"/>
                <w:sz w:val="24"/>
                <w:szCs w:val="24"/>
                <w:highlight w:val="none"/>
              </w:rPr>
              <w:t>与招标人存在利害关系可能影响招标公正性的法人、其他组织或者个人，不得参加投标。</w:t>
            </w:r>
            <w:bookmarkEnd w:id="1"/>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2.招标档的答疑、澄清、修改、应标及投标报名</w:t>
            </w:r>
          </w:p>
        </w:tc>
      </w:tr>
      <w:tr>
        <w:tblPrEx>
          <w:tblCellMar>
            <w:top w:w="0" w:type="dxa"/>
            <w:left w:w="28" w:type="dxa"/>
            <w:bottom w:w="0" w:type="dxa"/>
            <w:right w:w="28" w:type="dxa"/>
          </w:tblCellMar>
        </w:tblPrEx>
        <w:trPr>
          <w:trHeight w:val="23" w:hRule="atLeast"/>
          <w:jc w:val="center"/>
        </w:trPr>
        <w:tc>
          <w:tcPr>
            <w:tcW w:w="330"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发标时间：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9 月 30 </w:t>
            </w:r>
            <w:r>
              <w:rPr>
                <w:rFonts w:ascii="宋体" w:hAnsi="宋体" w:eastAsia="宋体" w:cs="宋体"/>
                <w:bCs/>
                <w:sz w:val="24"/>
                <w:szCs w:val="24"/>
                <w:highlight w:val="none"/>
              </w:rPr>
              <w:t>日;</w:t>
            </w:r>
          </w:p>
        </w:tc>
      </w:tr>
      <w:tr>
        <w:tblPrEx>
          <w:tblCellMar>
            <w:top w:w="0" w:type="dxa"/>
            <w:left w:w="28" w:type="dxa"/>
            <w:bottom w:w="0" w:type="dxa"/>
            <w:right w:w="28" w:type="dxa"/>
          </w:tblCellMar>
        </w:tblPrEx>
        <w:trPr>
          <w:trHeight w:val="23" w:hRule="atLeast"/>
          <w:jc w:val="center"/>
        </w:trPr>
        <w:tc>
          <w:tcPr>
            <w:tcW w:w="330"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napToGrid w:val="0"/>
              <w:spacing w:before="0" w:after="0"/>
              <w:ind w:firstLine="420"/>
              <w:rPr>
                <w:highlight w:val="none"/>
              </w:rPr>
            </w:pP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发标方式：</w:t>
            </w:r>
            <w:r>
              <w:rPr>
                <w:rFonts w:ascii="宋体" w:hAnsi="宋体" w:eastAsia="宋体" w:cs="宋体"/>
                <w:sz w:val="24"/>
                <w:szCs w:val="24"/>
                <w:highlight w:val="none"/>
              </w:rPr>
              <w:t>中国重汽官网</w:t>
            </w:r>
          </w:p>
        </w:tc>
      </w:tr>
      <w:tr>
        <w:tblPrEx>
          <w:tblCellMar>
            <w:top w:w="0" w:type="dxa"/>
            <w:left w:w="28" w:type="dxa"/>
            <w:bottom w:w="0" w:type="dxa"/>
            <w:right w:w="28" w:type="dxa"/>
          </w:tblCellMar>
        </w:tblPrEx>
        <w:trPr>
          <w:trHeight w:val="23" w:hRule="atLeast"/>
          <w:jc w:val="center"/>
        </w:trPr>
        <w:tc>
          <w:tcPr>
            <w:tcW w:w="330"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napToGrid w:val="0"/>
              <w:spacing w:before="0" w:after="0"/>
              <w:ind w:firstLine="480"/>
              <w:rPr>
                <w:rFonts w:ascii="宋体" w:hAnsi="宋体" w:eastAsia="宋体" w:cs="宋体"/>
                <w:sz w:val="24"/>
                <w:szCs w:val="24"/>
                <w:highlight w:val="none"/>
              </w:rPr>
            </w:pP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jc w:val="left"/>
              <w:rPr>
                <w:rFonts w:ascii="宋体" w:hAnsi="宋体" w:eastAsia="宋体" w:cs="宋体"/>
                <w:b/>
                <w:bCs/>
                <w:sz w:val="24"/>
                <w:szCs w:val="24"/>
                <w:highlight w:val="none"/>
              </w:rPr>
            </w:pPr>
            <w:r>
              <w:rPr>
                <w:rFonts w:ascii="宋体" w:hAnsi="宋体" w:eastAsia="宋体" w:cs="宋体"/>
                <w:sz w:val="24"/>
                <w:szCs w:val="24"/>
                <w:highlight w:val="none"/>
              </w:rPr>
              <w:t>如果投标人对招标档商务部分、技术部分有疑问，请各投标人在本答疑环节提出。</w:t>
            </w:r>
          </w:p>
          <w:p>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提交疑问时间：：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10 月 21 </w:t>
            </w:r>
            <w:r>
              <w:rPr>
                <w:rFonts w:ascii="宋体" w:hAnsi="宋体" w:eastAsia="宋体" w:cs="宋体"/>
                <w:bCs/>
                <w:sz w:val="24"/>
                <w:szCs w:val="24"/>
                <w:highlight w:val="none"/>
              </w:rPr>
              <w:t>日12:00前；</w:t>
            </w:r>
          </w:p>
          <w:p>
            <w:pPr>
              <w:widowControl w:val="0"/>
              <w:spacing w:before="0" w:after="0"/>
              <w:ind w:firstLine="482"/>
              <w:jc w:val="left"/>
              <w:rPr>
                <w:rFonts w:ascii="宋体" w:hAnsi="宋体" w:eastAsia="宋体" w:cs="宋体"/>
                <w:b/>
                <w:bCs/>
                <w:sz w:val="24"/>
                <w:szCs w:val="24"/>
                <w:highlight w:val="none"/>
              </w:rPr>
            </w:pPr>
            <w:r>
              <w:rPr>
                <w:rFonts w:ascii="宋体" w:hAnsi="宋体" w:eastAsia="宋体" w:cs="宋体"/>
                <w:b/>
                <w:bCs/>
                <w:sz w:val="24"/>
                <w:szCs w:val="24"/>
                <w:highlight w:val="none"/>
              </w:rPr>
              <w:t>提交疑问方式</w:t>
            </w:r>
            <w:r>
              <w:rPr>
                <w:rFonts w:ascii="宋体" w:hAnsi="宋体" w:eastAsia="宋体" w:cs="宋体"/>
                <w:sz w:val="24"/>
                <w:szCs w:val="24"/>
                <w:highlight w:val="none"/>
              </w:rPr>
              <w:t>：将答疑问题以word档格式发送至联系人邮件内，并电话联系工作人员查收，</w:t>
            </w:r>
            <w:r>
              <w:rPr>
                <w:rFonts w:ascii="宋体" w:hAnsi="宋体" w:eastAsia="宋体" w:cs="宋体"/>
                <w:b/>
                <w:bCs/>
                <w:sz w:val="24"/>
                <w:szCs w:val="24"/>
                <w:highlight w:val="none"/>
              </w:rPr>
              <w:t>邮件名格式为：XXX公司（五个字以内公司简称）XX项目答疑档。</w:t>
            </w:r>
          </w:p>
          <w:p>
            <w:pPr>
              <w:widowControl w:val="0"/>
              <w:spacing w:before="0" w:after="0"/>
              <w:ind w:firstLine="482"/>
              <w:jc w:val="left"/>
              <w:rPr>
                <w:rFonts w:ascii="宋体" w:hAnsi="宋体" w:eastAsia="宋体" w:cs="宋体"/>
                <w:sz w:val="24"/>
                <w:szCs w:val="24"/>
                <w:highlight w:val="none"/>
              </w:rPr>
            </w:pPr>
            <w:r>
              <w:rPr>
                <w:rFonts w:ascii="宋体" w:hAnsi="宋体" w:eastAsia="宋体" w:cs="宋体"/>
                <w:b/>
                <w:bCs/>
                <w:sz w:val="24"/>
                <w:szCs w:val="24"/>
                <w:highlight w:val="none"/>
              </w:rPr>
              <w:t>同时必须在邮件中以文字方式提供投标人全称、投标授权人姓名、联系方式（固定电话、手机、电子邮箱），并提供附件2</w:t>
            </w:r>
            <w:r>
              <w:rPr>
                <w:rFonts w:ascii="Times New Roman" w:hAnsi="Times New Roman" w:eastAsia="宋体" w:cs="Times New Roman"/>
                <w:b/>
                <w:bCs/>
                <w:color w:val="000000"/>
                <w:sz w:val="24"/>
                <w:szCs w:val="24"/>
                <w:highlight w:val="none"/>
              </w:rPr>
              <w:t>法定代表人授权委托书</w:t>
            </w:r>
            <w:r>
              <w:rPr>
                <w:rFonts w:ascii="宋体" w:hAnsi="宋体" w:eastAsia="宋体" w:cs="宋体"/>
                <w:b/>
                <w:bCs/>
                <w:sz w:val="24"/>
                <w:szCs w:val="24"/>
                <w:highlight w:val="none"/>
              </w:rPr>
              <w:t>。</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2.2</w:t>
            </w:r>
          </w:p>
        </w:tc>
        <w:tc>
          <w:tcPr>
            <w:tcW w:w="4669" w:type="pct"/>
            <w:tcBorders>
              <w:top w:val="single" w:color="000000" w:sz="2" w:space="0"/>
              <w:left w:val="single" w:color="000000" w:sz="2" w:space="0"/>
              <w:bottom w:val="single" w:color="000000" w:sz="2" w:space="0"/>
              <w:right w:val="single" w:color="000000" w:sz="2" w:space="0"/>
            </w:tcBorders>
            <w:shd w:val="clear" w:color="auto" w:fill="FFFFFF" w:themeFill="background1"/>
            <w:vAlign w:val="center"/>
          </w:tcPr>
          <w:p>
            <w:pPr>
              <w:widowControl w:val="0"/>
              <w:shd w:val="clear" w:color="auto" w:fill="FFFFF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领取答疑、澄清和修改档时间：</w:t>
            </w:r>
            <w:r>
              <w:rPr>
                <w:rFonts w:ascii="宋体" w:hAnsi="宋体" w:eastAsia="宋体" w:cs="宋体"/>
                <w:bCs/>
                <w:sz w:val="24"/>
                <w:szCs w:val="24"/>
                <w:highlight w:val="none"/>
              </w:rPr>
              <w:t>202</w:t>
            </w:r>
            <w:r>
              <w:rPr>
                <w:rFonts w:ascii="宋体" w:hAnsi="宋体"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10 月</w:t>
            </w:r>
            <w:r>
              <w:rPr>
                <w:rFonts w:hint="eastAsia" w:ascii="宋体" w:hAnsi="宋体" w:eastAsia="宋体" w:cs="宋体"/>
                <w:bCs/>
                <w:color w:val="FF0000"/>
                <w:sz w:val="24"/>
                <w:szCs w:val="24"/>
                <w:highlight w:val="none"/>
                <w:u w:val="single"/>
                <w:lang w:val="en-US" w:eastAsia="zh-CN"/>
              </w:rPr>
              <w:t xml:space="preserve"> 21</w:t>
            </w:r>
            <w:r>
              <w:rPr>
                <w:rFonts w:ascii="宋体" w:hAnsi="宋体" w:eastAsia="宋体" w:cs="宋体"/>
                <w:bCs/>
                <w:sz w:val="24"/>
                <w:szCs w:val="24"/>
                <w:highlight w:val="none"/>
              </w:rPr>
              <w:t>日</w:t>
            </w:r>
            <w:r>
              <w:rPr>
                <w:rFonts w:ascii="宋体" w:hAnsi="宋体" w:eastAsia="宋体" w:cs="宋体"/>
                <w:sz w:val="24"/>
                <w:szCs w:val="24"/>
                <w:highlight w:val="none"/>
              </w:rPr>
              <w:t>17:00前；</w:t>
            </w:r>
          </w:p>
          <w:p>
            <w:pPr>
              <w:widowControl w:val="0"/>
              <w:shd w:val="clear" w:color="auto" w:fill="FFFFFF" w:themeFill="background1"/>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答疑、澄清和修改档方式：招标人将以电子邮件的方式将招标档的答疑澄清档发送至答疑档提交时登记的电子邮箱。</w:t>
            </w:r>
          </w:p>
        </w:tc>
      </w:tr>
      <w:tr>
        <w:tblPrEx>
          <w:tblCellMar>
            <w:top w:w="0" w:type="dxa"/>
            <w:left w:w="28" w:type="dxa"/>
            <w:bottom w:w="0" w:type="dxa"/>
            <w:right w:w="28" w:type="dxa"/>
          </w:tblCellMar>
        </w:tblPrEx>
        <w:trPr>
          <w:trHeight w:val="23" w:hRule="atLeast"/>
          <w:jc w:val="center"/>
        </w:trPr>
        <w:tc>
          <w:tcPr>
            <w:tcW w:w="330" w:type="pct"/>
            <w:vMerge w:val="restar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sz w:val="24"/>
                <w:szCs w:val="24"/>
                <w:highlight w:val="none"/>
              </w:rPr>
              <w:t>2.3</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91"/>
              <w:widowControl w:val="0"/>
              <w:spacing w:before="0" w:after="0" w:line="240" w:lineRule="auto"/>
              <w:ind w:firstLine="482"/>
              <w:rPr>
                <w:rFonts w:eastAsia="宋体" w:cs="宋体"/>
                <w:b/>
                <w:bCs/>
                <w:highlight w:val="none"/>
              </w:rPr>
            </w:pPr>
            <w:r>
              <w:rPr>
                <w:rFonts w:eastAsia="宋体" w:cs="宋体"/>
                <w:b/>
                <w:bCs/>
                <w:highlight w:val="none"/>
              </w:rPr>
              <w:t>报名方式：</w:t>
            </w:r>
            <w:bookmarkStart w:id="2" w:name="OLE_LINK14"/>
            <w:r>
              <w:rPr>
                <w:rFonts w:eastAsia="宋体" w:cs="宋体"/>
                <w:highlight w:val="none"/>
              </w:rPr>
              <w:t>拟投标人根据招标人的邀请，</w:t>
            </w:r>
            <w:bookmarkEnd w:id="2"/>
            <w:r>
              <w:rPr>
                <w:rFonts w:eastAsia="宋体" w:cs="Times New Roman"/>
                <w:highlight w:val="none"/>
              </w:rPr>
              <w:t>在“中国重汽e采通”平台报名</w:t>
            </w:r>
            <w:r>
              <w:rPr>
                <w:rFonts w:eastAsia="宋体" w:cs="宋体"/>
                <w:highlight w:val="none"/>
              </w:rPr>
              <w:t>。</w:t>
            </w:r>
            <w:r>
              <w:rPr>
                <w:rFonts w:eastAsia="宋体" w:cs="Times New Roman"/>
                <w:b/>
                <w:bCs/>
                <w:highlight w:val="none"/>
              </w:rPr>
              <w:t>按照中国重汽e采通“SRM非生产供应商注册手册”（附件15）进行注册</w:t>
            </w:r>
            <w:r>
              <w:rPr>
                <w:rFonts w:eastAsia="宋体" w:cs="Times New Roman"/>
                <w:highlight w:val="none"/>
              </w:rPr>
              <w:t>，登录后进入“供应商应标”，选择对应的项目，点击“</w:t>
            </w:r>
            <w:r>
              <w:rPr>
                <w:rFonts w:eastAsia="宋体" w:cs="Times New Roman"/>
                <w:b/>
                <w:bCs/>
                <w:highlight w:val="none"/>
              </w:rPr>
              <w:t>应标</w:t>
            </w:r>
            <w:r>
              <w:rPr>
                <w:rFonts w:eastAsia="宋体" w:cs="Times New Roman"/>
                <w:highlight w:val="none"/>
              </w:rPr>
              <w:t>”</w:t>
            </w:r>
            <w:r>
              <w:rPr>
                <w:rFonts w:eastAsia="宋体" w:cs="Times New Roman"/>
                <w:b/>
                <w:bCs/>
                <w:highlight w:val="none"/>
              </w:rPr>
              <w:t>后按照招标档第三部分投标档组成资格证明档中的1.1-1.1</w:t>
            </w:r>
            <w:r>
              <w:rPr>
                <w:rFonts w:eastAsia="宋体" w:cs="Times New Roman"/>
                <w:b/>
                <w:bCs/>
                <w:highlight w:val="none"/>
                <w:lang w:val="en-US" w:eastAsia="zh-CN"/>
              </w:rPr>
              <w:t>3</w:t>
            </w:r>
            <w:r>
              <w:rPr>
                <w:rFonts w:eastAsia="宋体" w:cs="Times New Roman"/>
                <w:b/>
                <w:bCs/>
                <w:highlight w:val="none"/>
              </w:rPr>
              <w:t>准备资料并</w:t>
            </w:r>
            <w:r>
              <w:rPr>
                <w:rFonts w:eastAsia="宋体" w:cs="Times New Roman"/>
                <w:highlight w:val="none"/>
              </w:rPr>
              <w:t>上传，资质审查通过即为报名成功；公示期间请尽快报名</w:t>
            </w:r>
            <w:r>
              <w:rPr>
                <w:rFonts w:eastAsia="宋体" w:cs="宋体"/>
                <w:highlight w:val="none"/>
              </w:rPr>
              <w:t>。</w:t>
            </w:r>
          </w:p>
        </w:tc>
      </w:tr>
      <w:tr>
        <w:tblPrEx>
          <w:tblCellMar>
            <w:top w:w="0" w:type="dxa"/>
            <w:left w:w="28" w:type="dxa"/>
            <w:bottom w:w="0" w:type="dxa"/>
            <w:right w:w="28" w:type="dxa"/>
          </w:tblCellMar>
        </w:tblPrEx>
        <w:trPr>
          <w:trHeight w:val="23" w:hRule="atLeast"/>
          <w:jc w:val="center"/>
        </w:trPr>
        <w:tc>
          <w:tcPr>
            <w:tcW w:w="330" w:type="pct"/>
            <w:vMerge w:val="continue"/>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left"/>
              <w:rPr>
                <w:highlight w:val="none"/>
              </w:rPr>
            </w:pP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91"/>
              <w:widowControl w:val="0"/>
              <w:spacing w:before="0" w:after="0" w:line="240" w:lineRule="auto"/>
              <w:ind w:firstLine="482"/>
              <w:rPr>
                <w:rFonts w:eastAsia="宋体" w:cs="宋体"/>
                <w:highlight w:val="none"/>
              </w:rPr>
            </w:pPr>
            <w:r>
              <w:rPr>
                <w:rFonts w:eastAsia="宋体" w:cs="宋体"/>
                <w:b/>
                <w:bCs/>
                <w:highlight w:val="none"/>
              </w:rPr>
              <w:t>应标截止时间：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10 月</w:t>
            </w:r>
            <w:r>
              <w:rPr>
                <w:rFonts w:hint="eastAsia" w:ascii="宋体" w:hAnsi="宋体" w:eastAsia="宋体" w:cs="宋体"/>
                <w:bCs/>
                <w:sz w:val="24"/>
                <w:szCs w:val="24"/>
                <w:highlight w:val="none"/>
                <w:u w:val="single"/>
                <w:lang w:val="en-US" w:eastAsia="zh-CN"/>
              </w:rPr>
              <w:t xml:space="preserve"> </w:t>
            </w:r>
            <w:r>
              <w:rPr>
                <w:rFonts w:hint="eastAsia" w:eastAsia="宋体" w:cs="宋体"/>
                <w:bCs/>
                <w:color w:val="FF0000"/>
                <w:sz w:val="24"/>
                <w:szCs w:val="24"/>
                <w:highlight w:val="none"/>
                <w:u w:val="single"/>
                <w:lang w:val="en-US" w:eastAsia="zh-CN"/>
              </w:rPr>
              <w:t>22</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hint="eastAsia" w:eastAsia="宋体" w:cs="宋体"/>
                <w:highlight w:val="none"/>
                <w:lang w:val="en-US" w:eastAsia="zh-CN"/>
              </w:rPr>
              <w:t>20</w:t>
            </w:r>
            <w:r>
              <w:rPr>
                <w:rFonts w:eastAsia="宋体" w:cs="宋体"/>
                <w:highlight w:val="none"/>
              </w:rPr>
              <w:t>时00分00秒</w:t>
            </w:r>
          </w:p>
          <w:p>
            <w:pPr>
              <w:pStyle w:val="91"/>
              <w:widowControl w:val="0"/>
              <w:spacing w:before="0" w:after="0" w:line="240" w:lineRule="auto"/>
              <w:ind w:firstLine="482"/>
              <w:rPr>
                <w:rFonts w:eastAsia="宋体" w:cs="宋体"/>
                <w:highlight w:val="none"/>
              </w:rPr>
            </w:pPr>
            <w:r>
              <w:rPr>
                <w:rFonts w:eastAsia="宋体" w:cs="宋体"/>
                <w:b/>
                <w:bCs/>
                <w:highlight w:val="none"/>
              </w:rPr>
              <w:t>注：请务必在应标截止时间前完成注册及应标操作，注册审核需2-4日，应标截止时间精确到秒，逾期将无法应标。请自行掌握时间，避免无法应标。</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3.投标档的组成、编制及投递</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rPr>
                <w:rFonts w:ascii="宋体" w:hAnsi="宋体" w:eastAsia="宋体" w:cs="宋体"/>
                <w:bCs/>
                <w:sz w:val="24"/>
                <w:szCs w:val="24"/>
                <w:highlight w:val="none"/>
              </w:rPr>
            </w:pPr>
            <w:r>
              <w:rPr>
                <w:rFonts w:eastAsia="宋体" w:cs="宋体"/>
                <w:bCs/>
                <w:sz w:val="24"/>
                <w:szCs w:val="24"/>
                <w:highlight w:val="none"/>
              </w:rPr>
              <w:t>本项目投标档分为</w:t>
            </w:r>
            <w:r>
              <w:rPr>
                <w:rFonts w:eastAsia="宋体" w:cs="宋体"/>
                <w:b/>
                <w:sz w:val="24"/>
                <w:szCs w:val="24"/>
                <w:highlight w:val="none"/>
              </w:rPr>
              <w:t>纸质版</w:t>
            </w:r>
            <w:r>
              <w:rPr>
                <w:rFonts w:eastAsia="宋体" w:cs="宋体"/>
                <w:bCs/>
                <w:sz w:val="24"/>
                <w:szCs w:val="24"/>
                <w:highlight w:val="none"/>
              </w:rPr>
              <w:t>投标档和</w:t>
            </w:r>
            <w:r>
              <w:rPr>
                <w:rFonts w:eastAsia="宋体" w:cs="宋体"/>
                <w:b/>
                <w:sz w:val="24"/>
                <w:szCs w:val="24"/>
                <w:highlight w:val="none"/>
              </w:rPr>
              <w:t>电子版</w:t>
            </w:r>
            <w:r>
              <w:rPr>
                <w:rFonts w:eastAsia="宋体" w:cs="宋体"/>
                <w:bCs/>
                <w:sz w:val="24"/>
                <w:szCs w:val="24"/>
                <w:highlight w:val="none"/>
              </w:rPr>
              <w:t>投标档（电子版为纸质盖章版的扫描件），均由</w:t>
            </w:r>
            <w:r>
              <w:rPr>
                <w:rFonts w:eastAsia="宋体" w:cs="宋体"/>
                <w:b/>
                <w:sz w:val="24"/>
                <w:szCs w:val="24"/>
                <w:highlight w:val="none"/>
              </w:rPr>
              <w:t>《投标档（资质标）》、《投标档（技术标）》、《投标档（商务标）》（开标一览表）</w:t>
            </w:r>
            <w:r>
              <w:rPr>
                <w:rFonts w:eastAsia="宋体" w:cs="宋体"/>
                <w:bCs/>
                <w:sz w:val="24"/>
                <w:szCs w:val="24"/>
                <w:highlight w:val="none"/>
              </w:rPr>
              <w:t>档组成，共计3个档</w:t>
            </w:r>
            <w:r>
              <w:rPr>
                <w:rFonts w:ascii="宋体" w:hAnsi="宋体" w:eastAsia="宋体" w:cs="宋体"/>
                <w:bCs/>
                <w:sz w:val="24"/>
                <w:szCs w:val="24"/>
                <w:highlight w:val="none"/>
              </w:rPr>
              <w:t>。</w:t>
            </w:r>
          </w:p>
          <w:p>
            <w:pPr>
              <w:widowControl w:val="0"/>
              <w:spacing w:before="0" w:after="0"/>
              <w:ind w:firstLine="482"/>
              <w:rPr>
                <w:rFonts w:ascii="宋体" w:hAnsi="宋体" w:eastAsia="宋体" w:cs="宋体"/>
                <w:b/>
                <w:sz w:val="24"/>
                <w:szCs w:val="24"/>
                <w:highlight w:val="none"/>
              </w:rPr>
            </w:pPr>
            <w:r>
              <w:rPr>
                <w:rFonts w:eastAsia="宋体" w:cs="宋体"/>
                <w:b/>
                <w:sz w:val="24"/>
                <w:szCs w:val="24"/>
                <w:highlight w:val="none"/>
              </w:rPr>
              <w:t>《投标档（资质标）》</w:t>
            </w:r>
            <w:r>
              <w:rPr>
                <w:rFonts w:ascii="宋体" w:hAnsi="宋体" w:eastAsia="宋体" w:cs="宋体"/>
                <w:bCs/>
                <w:sz w:val="24"/>
                <w:szCs w:val="24"/>
                <w:highlight w:val="none"/>
              </w:rPr>
              <w:t>一个档（里面是全部资质投标书），</w:t>
            </w:r>
            <w:r>
              <w:rPr>
                <w:rFonts w:eastAsia="宋体" w:cs="宋体"/>
                <w:b/>
                <w:sz w:val="24"/>
                <w:szCs w:val="24"/>
                <w:highlight w:val="none"/>
              </w:rPr>
              <w:t>投标档（技术标）》</w:t>
            </w:r>
            <w:r>
              <w:rPr>
                <w:rFonts w:ascii="宋体" w:hAnsi="宋体" w:eastAsia="宋体" w:cs="宋体"/>
                <w:bCs/>
                <w:sz w:val="24"/>
                <w:szCs w:val="24"/>
                <w:highlight w:val="none"/>
              </w:rPr>
              <w:t>一个档（里面是全部技术投标书），</w:t>
            </w:r>
            <w:r>
              <w:rPr>
                <w:rFonts w:eastAsia="宋体" w:cs="宋体"/>
                <w:b/>
                <w:sz w:val="24"/>
                <w:szCs w:val="24"/>
                <w:highlight w:val="none"/>
              </w:rPr>
              <w:t>《投标档（商务标）》（开标一览表）</w:t>
            </w:r>
            <w:r>
              <w:rPr>
                <w:rFonts w:ascii="宋体" w:hAnsi="宋体" w:eastAsia="宋体" w:cs="宋体"/>
                <w:bCs/>
                <w:sz w:val="24"/>
                <w:szCs w:val="24"/>
                <w:highlight w:val="none"/>
              </w:rPr>
              <w:t>一个档（里面是全部商务投标书），</w:t>
            </w:r>
            <w:r>
              <w:rPr>
                <w:rFonts w:ascii="宋体" w:hAnsi="宋体" w:eastAsia="宋体" w:cs="宋体"/>
                <w:b/>
                <w:sz w:val="24"/>
                <w:szCs w:val="24"/>
                <w:highlight w:val="none"/>
              </w:rPr>
              <w:t>具体组成等详细要求见招标档第三部分投标档编制第三条。</w:t>
            </w:r>
          </w:p>
          <w:p>
            <w:pPr>
              <w:widowControl w:val="0"/>
              <w:spacing w:before="0" w:after="0"/>
              <w:ind w:firstLine="480"/>
              <w:rPr>
                <w:rFonts w:ascii="宋体" w:hAnsi="宋体" w:eastAsia="宋体" w:cs="宋体"/>
                <w:sz w:val="24"/>
                <w:szCs w:val="24"/>
                <w:highlight w:val="none"/>
              </w:rPr>
            </w:pPr>
            <w:r>
              <w:rPr>
                <w:rFonts w:ascii="宋体" w:hAnsi="宋体" w:eastAsia="宋体" w:cs="宋体"/>
                <w:bCs/>
                <w:color w:val="000000"/>
                <w:sz w:val="24"/>
                <w:szCs w:val="24"/>
                <w:highlight w:val="none"/>
              </w:rPr>
              <w:t>注意不按此要求提供投标档的，投标档做无效标处理。</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3.2</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eastAsia="宋体" w:cs="宋体"/>
                <w:bCs/>
                <w:sz w:val="24"/>
                <w:szCs w:val="24"/>
                <w:highlight w:val="none"/>
              </w:rPr>
            </w:pPr>
            <w:r>
              <w:rPr>
                <w:rFonts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若逾期未在中国重汽e采通平台上传电子标书，即便递交了纸版投标档，一律视为无效投标</w:t>
            </w:r>
            <w:r>
              <w:rPr>
                <w:rFonts w:eastAsia="宋体" w:cs="宋体"/>
                <w:b/>
                <w:sz w:val="24"/>
                <w:szCs w:val="24"/>
                <w:highlight w:val="none"/>
              </w:rPr>
              <w:t>。</w:t>
            </w:r>
          </w:p>
          <w:p>
            <w:pPr>
              <w:widowControl w:val="0"/>
              <w:spacing w:before="0" w:after="0"/>
              <w:ind w:firstLine="420"/>
              <w:rPr>
                <w:rFonts w:eastAsia="宋体" w:cs="宋体"/>
                <w:bCs/>
                <w:sz w:val="24"/>
                <w:szCs w:val="24"/>
                <w:highlight w:val="none"/>
              </w:rPr>
            </w:pPr>
            <w:r>
              <w:rPr>
                <w:rFonts w:eastAsia="宋体"/>
                <w:bCs/>
                <w:highlight w:val="none"/>
              </w:rPr>
              <w:t xml:space="preserve"> </w:t>
            </w:r>
            <w:r>
              <w:rPr>
                <w:rFonts w:eastAsia="宋体" w:cs="宋体"/>
                <w:bCs/>
                <w:sz w:val="24"/>
                <w:szCs w:val="24"/>
                <w:highlight w:val="none"/>
              </w:rPr>
              <w:t>纸质版投标档的份数要求为</w:t>
            </w:r>
            <w:bookmarkStart w:id="3" w:name="OLE_LINK6"/>
            <w:r>
              <w:rPr>
                <w:rFonts w:eastAsia="宋体" w:cs="宋体"/>
                <w:b/>
                <w:sz w:val="24"/>
                <w:szCs w:val="24"/>
                <w:highlight w:val="none"/>
              </w:rPr>
              <w:t>一式</w:t>
            </w:r>
            <w:bookmarkEnd w:id="3"/>
            <w:r>
              <w:rPr>
                <w:rFonts w:eastAsia="宋体" w:cs="宋体"/>
                <w:b/>
                <w:sz w:val="24"/>
                <w:szCs w:val="24"/>
                <w:highlight w:val="none"/>
                <w:lang w:val="en-US" w:eastAsia="zh-CN"/>
              </w:rPr>
              <w:t>一</w:t>
            </w:r>
            <w:r>
              <w:rPr>
                <w:rFonts w:eastAsia="宋体" w:cs="宋体"/>
                <w:b/>
                <w:sz w:val="24"/>
                <w:szCs w:val="24"/>
                <w:highlight w:val="none"/>
              </w:rPr>
              <w:t>份，</w:t>
            </w:r>
            <w:r>
              <w:rPr>
                <w:rFonts w:ascii="宋体" w:hAnsi="宋体" w:eastAsia="宋体" w:cs="宋体"/>
                <w:b/>
                <w:sz w:val="24"/>
                <w:szCs w:val="24"/>
                <w:highlight w:val="none"/>
              </w:rPr>
              <w:t>正本一份</w:t>
            </w:r>
            <w:r>
              <w:rPr>
                <w:rFonts w:eastAsia="宋体" w:cs="宋体"/>
                <w:bCs/>
                <w:sz w:val="24"/>
                <w:szCs w:val="24"/>
                <w:highlight w:val="none"/>
              </w:rPr>
              <w:t>，</w:t>
            </w:r>
            <w:r>
              <w:rPr>
                <w:rFonts w:ascii="宋体" w:hAnsi="宋体" w:eastAsia="宋体" w:cs="宋体"/>
                <w:bCs/>
                <w:sz w:val="24"/>
                <w:szCs w:val="24"/>
                <w:highlight w:val="none"/>
              </w:rPr>
              <w:t>资质投标书、技术投标书及商务投标书的</w:t>
            </w:r>
            <w:r>
              <w:rPr>
                <w:rFonts w:eastAsia="宋体" w:cs="宋体"/>
                <w:b/>
                <w:sz w:val="24"/>
                <w:szCs w:val="24"/>
                <w:highlight w:val="none"/>
              </w:rPr>
              <w:t>同类档封装在一个包封里，包封表面按照附件13标注档信息；共计三个包封</w:t>
            </w:r>
            <w:r>
              <w:rPr>
                <w:rFonts w:eastAsia="宋体" w:cs="宋体"/>
                <w:bCs/>
                <w:sz w:val="24"/>
                <w:szCs w:val="24"/>
                <w:highlight w:val="none"/>
              </w:rPr>
              <w:t>。</w:t>
            </w:r>
          </w:p>
          <w:p>
            <w:pPr>
              <w:pStyle w:val="2"/>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如选择到场参与开标，自行携带纸质投标档于开标前至开标地点即可。</w:t>
            </w:r>
          </w:p>
          <w:p>
            <w:pPr>
              <w:pStyle w:val="2"/>
              <w:widowControl w:val="0"/>
              <w:spacing w:before="0" w:after="0"/>
              <w:ind w:firstLine="480"/>
              <w:rPr>
                <w:rFonts w:eastAsia="宋体" w:cs="宋体" w:asciiTheme="minorHAnsi" w:hAnsiTheme="minorHAnsi"/>
                <w:bCs/>
                <w:sz w:val="24"/>
                <w:szCs w:val="24"/>
                <w:highlight w:val="none"/>
              </w:rPr>
            </w:pPr>
            <w:r>
              <w:rPr>
                <w:rFonts w:eastAsia="宋体" w:cs="宋体" w:asciiTheme="minorHAnsi" w:hAnsiTheme="minorHAnsi"/>
                <w:bCs/>
                <w:sz w:val="24"/>
                <w:szCs w:val="24"/>
                <w:highlight w:val="none"/>
              </w:rPr>
              <w:t>如选择在线参与开标，纸质投标档需在开标日前两天，邮寄到指定地址。</w:t>
            </w:r>
          </w:p>
          <w:p>
            <w:pPr>
              <w:pStyle w:val="2"/>
              <w:widowControl w:val="0"/>
              <w:spacing w:before="0" w:after="0"/>
              <w:rPr>
                <w:rFonts w:hint="default" w:eastAsia="宋体" w:cs="Times New Roman"/>
                <w:color w:val="000000"/>
                <w:sz w:val="24"/>
                <w:szCs w:val="24"/>
                <w:highlight w:val="none"/>
                <w:lang w:val="en-US" w:eastAsia="zh-CN"/>
              </w:rPr>
            </w:pPr>
            <w:r>
              <w:rPr>
                <w:rFonts w:eastAsia="宋体" w:cs="宋体" w:asciiTheme="minorHAnsi" w:hAnsiTheme="minorHAnsi"/>
                <w:b/>
                <w:sz w:val="24"/>
                <w:szCs w:val="24"/>
                <w:highlight w:val="none"/>
              </w:rPr>
              <w:t>邮寄地址：</w:t>
            </w:r>
            <w:r>
              <w:rPr>
                <w:rFonts w:eastAsia="宋体" w:cs="Times New Roman"/>
                <w:color w:val="000000"/>
                <w:sz w:val="24"/>
                <w:szCs w:val="24"/>
                <w:highlight w:val="none"/>
              </w:rPr>
              <w:t>山东省济南市</w:t>
            </w:r>
            <w:r>
              <w:rPr>
                <w:rFonts w:hint="eastAsia" w:eastAsia="宋体" w:cs="Times New Roman"/>
                <w:color w:val="000000"/>
                <w:sz w:val="24"/>
                <w:szCs w:val="24"/>
                <w:highlight w:val="none"/>
                <w:lang w:val="en-US" w:eastAsia="zh-CN"/>
              </w:rPr>
              <w:t>章丘圣井重汽工业园发动机厂2号门部件线</w:t>
            </w:r>
          </w:p>
          <w:p>
            <w:pPr>
              <w:pStyle w:val="2"/>
              <w:widowControl w:val="0"/>
              <w:spacing w:before="0" w:after="0"/>
              <w:rPr>
                <w:rFonts w:hint="default" w:eastAsia="宋体" w:cs="Times New Roman"/>
                <w:color w:val="000000"/>
                <w:sz w:val="24"/>
                <w:szCs w:val="24"/>
                <w:highlight w:val="none"/>
                <w:lang w:val="en-US" w:eastAsia="zh-CN"/>
              </w:rPr>
            </w:pPr>
            <w:r>
              <w:rPr>
                <w:rFonts w:eastAsia="宋体" w:cs="Times New Roman"/>
                <w:b/>
                <w:bCs/>
                <w:color w:val="000000"/>
                <w:sz w:val="24"/>
                <w:szCs w:val="24"/>
                <w:highlight w:val="none"/>
              </w:rPr>
              <w:t>联系人及联系方式：</w:t>
            </w:r>
            <w:r>
              <w:rPr>
                <w:rFonts w:hint="eastAsia" w:eastAsia="宋体" w:cs="Times New Roman"/>
                <w:b/>
                <w:bCs/>
                <w:color w:val="000000"/>
                <w:sz w:val="24"/>
                <w:szCs w:val="24"/>
                <w:highlight w:val="none"/>
                <w:lang w:val="en-US" w:eastAsia="zh-CN"/>
              </w:rPr>
              <w:t>李图河</w:t>
            </w:r>
            <w:r>
              <w:rPr>
                <w:rFonts w:ascii="Times New Roman" w:hAnsi="Times New Roman" w:eastAsia="宋体" w:cs="Times New Roman"/>
                <w:color w:val="000000"/>
                <w:sz w:val="24"/>
                <w:szCs w:val="24"/>
                <w:highlight w:val="none"/>
              </w:rPr>
              <w:t>/</w:t>
            </w:r>
            <w:r>
              <w:rPr>
                <w:rFonts w:hint="eastAsia" w:ascii="Times New Roman" w:hAnsi="Times New Roman" w:eastAsia="宋体" w:cs="Times New Roman"/>
                <w:color w:val="000000"/>
                <w:sz w:val="24"/>
                <w:szCs w:val="24"/>
                <w:highlight w:val="none"/>
                <w:lang w:eastAsia="zh-CN"/>
              </w:rPr>
              <w:t>1</w:t>
            </w:r>
            <w:r>
              <w:rPr>
                <w:rFonts w:hint="eastAsia" w:ascii="Times New Roman" w:hAnsi="Times New Roman" w:eastAsia="宋体" w:cs="Times New Roman"/>
                <w:color w:val="000000"/>
                <w:sz w:val="24"/>
                <w:szCs w:val="24"/>
                <w:highlight w:val="none"/>
                <w:lang w:val="en-US" w:eastAsia="zh-CN"/>
              </w:rPr>
              <w:t>3245314315</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3.3</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b/>
                <w:bCs/>
                <w:sz w:val="24"/>
                <w:szCs w:val="24"/>
                <w:highlight w:val="none"/>
              </w:rPr>
            </w:pPr>
            <w:r>
              <w:rPr>
                <w:rFonts w:eastAsia="宋体" w:cs="宋体"/>
                <w:b/>
                <w:bCs/>
                <w:sz w:val="24"/>
                <w:highlight w:val="none"/>
              </w:rPr>
              <w:t>纸质版投标档和电子版投标档必须保证内容一致；如确实存在不一致的，以电子标书为准，同时要求投标人对纸版标书做出修正。</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3.4</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14"/>
              <w:widowControl w:val="0"/>
              <w:spacing w:before="0" w:after="0" w:line="240" w:lineRule="auto"/>
              <w:ind w:firstLine="482"/>
              <w:rPr>
                <w:rFonts w:ascii="宋体" w:hAnsi="宋体" w:eastAsia="宋体" w:cs="宋体"/>
                <w:sz w:val="24"/>
                <w:szCs w:val="24"/>
                <w:highlight w:val="none"/>
              </w:rPr>
            </w:pPr>
            <w:r>
              <w:rPr>
                <w:rFonts w:ascii="宋体" w:hAnsi="宋体" w:eastAsia="宋体" w:cs="宋体"/>
                <w:b/>
                <w:bCs/>
                <w:sz w:val="24"/>
                <w:szCs w:val="24"/>
                <w:highlight w:val="none"/>
              </w:rPr>
              <w:t>投标档的装订：</w:t>
            </w:r>
            <w:r>
              <w:rPr>
                <w:rFonts w:ascii="宋体" w:hAnsi="宋体" w:eastAsia="宋体" w:cs="宋体"/>
                <w:sz w:val="24"/>
                <w:szCs w:val="24"/>
                <w:highlight w:val="none"/>
              </w:rPr>
              <w:t>投标人必须将投标档按照资质标档1册、技术标档1册、商务标档1册</w:t>
            </w:r>
            <w:r>
              <w:rPr>
                <w:rFonts w:ascii="宋体" w:hAnsi="宋体" w:eastAsia="宋体" w:cs="宋体"/>
                <w:b/>
                <w:bCs/>
                <w:sz w:val="24"/>
                <w:szCs w:val="24"/>
                <w:highlight w:val="none"/>
              </w:rPr>
              <w:t>分别进行</w:t>
            </w:r>
            <w:r>
              <w:rPr>
                <w:rFonts w:ascii="宋体" w:hAnsi="宋体" w:eastAsia="宋体" w:cs="宋体"/>
                <w:bCs/>
                <w:sz w:val="24"/>
                <w:szCs w:val="24"/>
                <w:highlight w:val="none"/>
              </w:rPr>
              <w:t>胶装</w:t>
            </w:r>
            <w:r>
              <w:rPr>
                <w:rFonts w:ascii="宋体" w:hAnsi="宋体" w:eastAsia="宋体" w:cs="宋体"/>
                <w:sz w:val="24"/>
                <w:szCs w:val="24"/>
                <w:highlight w:val="none"/>
              </w:rPr>
              <w:t>，各自不允许超过两册。</w:t>
            </w:r>
          </w:p>
          <w:p>
            <w:pPr>
              <w:pStyle w:val="2"/>
              <w:widowControl w:val="0"/>
              <w:spacing w:before="0" w:after="0"/>
              <w:rPr>
                <w:rFonts w:eastAsia="宋体" w:cs="宋体" w:asciiTheme="minorHAnsi" w:hAnsiTheme="minorHAnsi"/>
                <w:b/>
                <w:sz w:val="24"/>
                <w:szCs w:val="24"/>
                <w:highlight w:val="none"/>
              </w:rPr>
            </w:pPr>
            <w:r>
              <w:rPr>
                <w:rFonts w:eastAsia="宋体" w:cs="宋体"/>
                <w:b/>
                <w:bCs/>
                <w:sz w:val="24"/>
                <w:szCs w:val="24"/>
                <w:highlight w:val="none"/>
              </w:rPr>
              <w:t>技术标书和商务标书不单独装订的，投标档做无效标处理。</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3.5</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sz w:val="24"/>
                <w:szCs w:val="24"/>
                <w:highlight w:val="none"/>
              </w:rPr>
            </w:pPr>
            <w:r>
              <w:rPr>
                <w:rFonts w:eastAsia="宋体" w:cs="宋体"/>
                <w:b/>
                <w:bCs/>
                <w:sz w:val="24"/>
                <w:szCs w:val="24"/>
                <w:highlight w:val="none"/>
              </w:rPr>
              <w:t>投标档递交截止时间：</w:t>
            </w:r>
            <w:r>
              <w:rPr>
                <w:rFonts w:ascii="宋体" w:hAnsi="宋体" w:eastAsia="宋体" w:cs="宋体"/>
                <w:b/>
                <w:bCs/>
                <w:sz w:val="24"/>
                <w:szCs w:val="24"/>
                <w:highlight w:val="none"/>
              </w:rPr>
              <w:t>：</w:t>
            </w:r>
            <w:r>
              <w:rPr>
                <w:rFonts w:eastAsia="宋体" w:cs="宋体"/>
                <w:bCs/>
                <w:sz w:val="24"/>
                <w:szCs w:val="24"/>
                <w:highlight w:val="none"/>
              </w:rPr>
              <w:t>202</w:t>
            </w:r>
            <w:r>
              <w:rPr>
                <w:rFonts w:eastAsia="宋体" w:cs="宋体"/>
                <w:bCs/>
                <w:sz w:val="24"/>
                <w:szCs w:val="24"/>
                <w:highlight w:val="none"/>
                <w:lang w:val="en-US" w:eastAsia="zh-CN"/>
              </w:rPr>
              <w:t>4</w:t>
            </w:r>
            <w:r>
              <w:rPr>
                <w:rFonts w:ascii="宋体" w:hAnsi="宋体" w:eastAsia="宋体" w:cs="宋体"/>
                <w:bCs/>
                <w:sz w:val="24"/>
                <w:szCs w:val="24"/>
                <w:highlight w:val="none"/>
              </w:rPr>
              <w:t>年</w:t>
            </w:r>
            <w:r>
              <w:rPr>
                <w:rFonts w:hint="eastAsia" w:ascii="宋体" w:hAnsi="宋体" w:eastAsia="宋体" w:cs="宋体"/>
                <w:bCs/>
                <w:sz w:val="24"/>
                <w:szCs w:val="24"/>
                <w:highlight w:val="none"/>
                <w:u w:val="single"/>
                <w:lang w:val="en-US" w:eastAsia="zh-CN"/>
              </w:rPr>
              <w:t xml:space="preserve"> </w:t>
            </w:r>
            <w:r>
              <w:rPr>
                <w:rFonts w:hint="eastAsia" w:eastAsia="宋体" w:cs="宋体"/>
                <w:bCs/>
                <w:sz w:val="24"/>
                <w:szCs w:val="24"/>
                <w:highlight w:val="none"/>
                <w:u w:val="single"/>
                <w:lang w:val="en-US" w:eastAsia="zh-CN"/>
              </w:rPr>
              <w:t>10 月</w:t>
            </w:r>
            <w:r>
              <w:rPr>
                <w:rFonts w:hint="eastAsia" w:ascii="宋体" w:hAnsi="宋体" w:eastAsia="宋体" w:cs="宋体"/>
                <w:bCs/>
                <w:color w:val="FF0000"/>
                <w:sz w:val="24"/>
                <w:szCs w:val="24"/>
                <w:highlight w:val="none"/>
                <w:u w:val="single"/>
                <w:lang w:val="en-US" w:eastAsia="zh-CN"/>
              </w:rPr>
              <w:t xml:space="preserve"> </w:t>
            </w:r>
            <w:r>
              <w:rPr>
                <w:rFonts w:hint="eastAsia" w:eastAsia="宋体" w:cs="宋体"/>
                <w:bCs/>
                <w:color w:val="FF0000"/>
                <w:sz w:val="24"/>
                <w:szCs w:val="24"/>
                <w:highlight w:val="none"/>
                <w:u w:val="single"/>
                <w:lang w:val="en-US" w:eastAsia="zh-CN"/>
              </w:rPr>
              <w:t>23</w:t>
            </w:r>
            <w:r>
              <w:rPr>
                <w:rFonts w:hint="eastAsia" w:ascii="宋体" w:hAnsi="宋体" w:eastAsia="宋体" w:cs="宋体"/>
                <w:bCs/>
                <w:sz w:val="24"/>
                <w:szCs w:val="24"/>
                <w:highlight w:val="none"/>
                <w:u w:val="single"/>
                <w:lang w:val="en-US" w:eastAsia="zh-CN"/>
              </w:rPr>
              <w:t xml:space="preserve"> </w:t>
            </w:r>
            <w:r>
              <w:rPr>
                <w:rFonts w:ascii="宋体" w:hAnsi="宋体" w:eastAsia="宋体" w:cs="宋体"/>
                <w:bCs/>
                <w:sz w:val="24"/>
                <w:szCs w:val="24"/>
                <w:highlight w:val="none"/>
              </w:rPr>
              <w:t>日</w:t>
            </w:r>
            <w:r>
              <w:rPr>
                <w:rFonts w:eastAsia="宋体" w:cs="宋体"/>
                <w:kern w:val="0"/>
                <w:sz w:val="24"/>
                <w:szCs w:val="24"/>
                <w:highlight w:val="none"/>
              </w:rPr>
              <w:t>上午9</w:t>
            </w:r>
            <w:r>
              <w:rPr>
                <w:rFonts w:eastAsia="宋体" w:cs="宋体"/>
                <w:sz w:val="24"/>
                <w:szCs w:val="24"/>
                <w:highlight w:val="none"/>
              </w:rPr>
              <w:t>:00:00（北京时间）</w:t>
            </w:r>
          </w:p>
          <w:p>
            <w:pPr>
              <w:pStyle w:val="2"/>
              <w:widowControl w:val="0"/>
              <w:spacing w:before="0" w:after="0"/>
              <w:ind w:firstLine="482"/>
              <w:rPr>
                <w:rFonts w:eastAsia="宋体" w:cs="宋体"/>
                <w:sz w:val="24"/>
                <w:szCs w:val="24"/>
                <w:highlight w:val="none"/>
              </w:rPr>
            </w:pPr>
            <w:r>
              <w:rPr>
                <w:rFonts w:eastAsia="宋体" w:cs="宋体"/>
                <w:b/>
                <w:bCs/>
                <w:sz w:val="24"/>
                <w:szCs w:val="24"/>
                <w:highlight w:val="none"/>
              </w:rPr>
              <w:t>注：请务必在投标档递交截止时间前完成投标操作，截止时间精确到秒，逾期将无法投标。请自行掌握时间，避免无法投标</w:t>
            </w:r>
            <w:r>
              <w:rPr>
                <w:rFonts w:eastAsia="宋体" w:cs="宋体"/>
                <w:b/>
                <w:bCs/>
                <w:sz w:val="24"/>
                <w:szCs w:val="28"/>
                <w:highlight w:val="none"/>
              </w:rPr>
              <w:t>。</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3.6</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投标档有效期：</w:t>
            </w:r>
            <w:r>
              <w:rPr>
                <w:rFonts w:ascii="宋体" w:hAnsi="宋体" w:eastAsia="宋体" w:cs="宋体"/>
                <w:sz w:val="24"/>
                <w:szCs w:val="24"/>
                <w:highlight w:val="none"/>
              </w:rPr>
              <w:t>自开标之日起90个日历日。</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4.投标保证金及投标有效期</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投标保证金的缴纳形式：</w:t>
            </w:r>
            <w:r>
              <w:rPr>
                <w:rFonts w:ascii="宋体" w:hAnsi="宋体" w:eastAsia="宋体" w:cs="宋体"/>
                <w:sz w:val="24"/>
                <w:szCs w:val="24"/>
                <w:highlight w:val="none"/>
              </w:rPr>
              <w:t>电汇或网银</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4.2</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pPr>
              <w:widowControl w:val="0"/>
              <w:spacing w:before="0" w:after="0"/>
              <w:ind w:firstLine="480"/>
              <w:rPr>
                <w:rFonts w:ascii="宋体" w:hAnsi="宋体" w:eastAsia="宋体" w:cs="宋体"/>
                <w:sz w:val="24"/>
                <w:szCs w:val="24"/>
                <w:highlight w:val="none"/>
              </w:rPr>
            </w:pPr>
            <w:r>
              <w:rPr>
                <w:rFonts w:eastAsia="宋体" w:cs="Times New Roman"/>
                <w:sz w:val="24"/>
                <w:szCs w:val="28"/>
                <w:highlight w:val="none"/>
              </w:rPr>
              <w:t>转账附言：公司名称+项目名称+投标保证金。</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4.3</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39"/>
              <w:widowControl w:val="0"/>
              <w:spacing w:before="0" w:after="0" w:line="240" w:lineRule="auto"/>
              <w:ind w:left="0" w:firstLine="482"/>
              <w:rPr>
                <w:rFonts w:ascii="宋体" w:hAnsi="宋体" w:cs="宋体"/>
                <w:sz w:val="24"/>
                <w:szCs w:val="24"/>
                <w:highlight w:val="none"/>
              </w:rPr>
            </w:pPr>
            <w:r>
              <w:rPr>
                <w:rFonts w:ascii="宋体" w:hAnsi="宋体" w:eastAsia="宋体" w:cs="宋体"/>
                <w:b/>
                <w:bCs/>
                <w:sz w:val="24"/>
                <w:szCs w:val="24"/>
                <w:highlight w:val="none"/>
              </w:rPr>
              <w:t>保证金缴纳截止时间：</w:t>
            </w:r>
            <w:r>
              <w:rPr>
                <w:rFonts w:ascii="宋体" w:hAnsi="宋体" w:eastAsia="宋体" w:cs="宋体"/>
                <w:sz w:val="24"/>
                <w:szCs w:val="24"/>
                <w:highlight w:val="none"/>
              </w:rPr>
              <w:t>202</w:t>
            </w:r>
            <w:r>
              <w:rPr>
                <w:rFonts w:ascii="宋体" w:hAnsi="宋体" w:eastAsia="宋体" w:cs="宋体"/>
                <w:sz w:val="24"/>
                <w:szCs w:val="24"/>
                <w:highlight w:val="none"/>
                <w:lang w:val="en-US" w:eastAsia="zh-CN"/>
              </w:rPr>
              <w:t>4</w:t>
            </w:r>
            <w:r>
              <w:rPr>
                <w:rFonts w:ascii="宋体" w:hAnsi="宋体" w:eastAsia="宋体" w:cs="宋体"/>
                <w:sz w:val="24"/>
                <w:szCs w:val="24"/>
                <w:highlight w:val="none"/>
              </w:rPr>
              <w:t>年</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10 月</w:t>
            </w:r>
            <w:r>
              <w:rPr>
                <w:rFonts w:hint="eastAsia" w:ascii="宋体" w:hAnsi="宋体" w:eastAsia="宋体" w:cs="宋体"/>
                <w:sz w:val="24"/>
                <w:szCs w:val="24"/>
                <w:highlight w:val="none"/>
                <w:u w:val="single"/>
                <w:lang w:val="en-US" w:eastAsia="zh-CN"/>
              </w:rPr>
              <w:t xml:space="preserve"> </w:t>
            </w:r>
            <w:r>
              <w:rPr>
                <w:rFonts w:hint="eastAsia" w:ascii="宋体" w:hAnsi="宋体" w:cs="宋体"/>
                <w:color w:val="FF0000"/>
                <w:sz w:val="24"/>
                <w:szCs w:val="24"/>
                <w:highlight w:val="none"/>
                <w:u w:val="single"/>
                <w:lang w:val="en-US" w:eastAsia="zh-CN"/>
              </w:rPr>
              <w:t>22</w:t>
            </w:r>
            <w:bookmarkStart w:id="58" w:name="_GoBack"/>
            <w:bookmarkEnd w:id="58"/>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rPr>
              <w:t>日</w:t>
            </w:r>
            <w:r>
              <w:rPr>
                <w:rFonts w:hint="eastAsia" w:ascii="宋体" w:hAnsi="宋体" w:eastAsia="宋体" w:cs="宋体"/>
                <w:sz w:val="24"/>
                <w:szCs w:val="24"/>
                <w:highlight w:val="none"/>
                <w:lang w:val="en-US" w:eastAsia="zh-CN"/>
              </w:rPr>
              <w:t>20</w:t>
            </w:r>
            <w:r>
              <w:rPr>
                <w:rFonts w:ascii="宋体" w:hAnsi="宋体" w:eastAsia="宋体" w:cs="宋体"/>
                <w:sz w:val="24"/>
                <w:szCs w:val="24"/>
                <w:highlight w:val="none"/>
              </w:rPr>
              <w:t>：00前（同应标截止时间）</w:t>
            </w:r>
          </w:p>
          <w:p>
            <w:pPr>
              <w:pStyle w:val="39"/>
              <w:widowControl w:val="0"/>
              <w:spacing w:before="0" w:after="0" w:line="240" w:lineRule="auto"/>
              <w:ind w:left="0" w:firstLine="480"/>
              <w:rPr>
                <w:rFonts w:ascii="宋体" w:hAnsi="宋体" w:cs="宋体"/>
                <w:sz w:val="24"/>
                <w:szCs w:val="24"/>
                <w:highlight w:val="none"/>
              </w:rPr>
            </w:pPr>
            <w:r>
              <w:rPr>
                <w:rFonts w:ascii="宋体" w:hAnsi="宋体" w:eastAsia="宋体" w:cs="宋体"/>
                <w:sz w:val="24"/>
                <w:szCs w:val="24"/>
                <w:highlight w:val="none"/>
              </w:rPr>
              <w:t>供应商应充分考虑银行信息交换时间，由此带来的保证金不能按时到帐的责任由供应商自行承担。</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4.4</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39"/>
              <w:widowControl w:val="0"/>
              <w:spacing w:before="0" w:after="0" w:line="240" w:lineRule="auto"/>
              <w:ind w:left="0" w:firstLine="480"/>
              <w:rPr>
                <w:rFonts w:ascii="宋体" w:hAnsi="宋体" w:cs="宋体"/>
                <w:b/>
                <w:bCs/>
                <w:sz w:val="24"/>
                <w:szCs w:val="24"/>
                <w:highlight w:val="none"/>
              </w:rPr>
            </w:pPr>
            <w:r>
              <w:rPr>
                <w:rFonts w:ascii="宋体" w:hAnsi="宋体" w:eastAsia="宋体" w:cs="宋体"/>
                <w:sz w:val="24"/>
                <w:szCs w:val="24"/>
                <w:highlight w:val="none"/>
              </w:rPr>
              <w:t>对于没有中标的投标人，投标保证金将于招标人内部完成中标人评审并确认最终中标人后在</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工作日内予以原路返还（无息）；对于中标方，投标保证金将在签订合同后</w:t>
            </w:r>
            <w:r>
              <w:rPr>
                <w:rFonts w:ascii="宋体" w:hAnsi="宋体" w:eastAsia="宋体" w:cs="宋体"/>
                <w:sz w:val="24"/>
                <w:szCs w:val="24"/>
                <w:highlight w:val="none"/>
                <w:lang w:val="en-US" w:eastAsia="zh-CN"/>
              </w:rPr>
              <w:t>30</w:t>
            </w:r>
            <w:r>
              <w:rPr>
                <w:rFonts w:ascii="宋体" w:hAnsi="宋体" w:eastAsia="宋体" w:cs="宋体"/>
                <w:sz w:val="24"/>
                <w:szCs w:val="24"/>
                <w:highlight w:val="none"/>
              </w:rPr>
              <w:t>个工作日内原路返还（无息）。</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5.开评标</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5.2</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评标方法：资质标审核→唱标→技术标评审→商务标评审。技术标入围后，原则上选取</w:t>
            </w:r>
            <w:r>
              <w:rPr>
                <w:rFonts w:ascii="宋体" w:hAnsi="宋体" w:eastAsia="宋体" w:cs="Times New Roman"/>
                <w:b/>
                <w:bCs/>
                <w:color w:val="000000"/>
                <w:sz w:val="24"/>
                <w:szCs w:val="24"/>
                <w:highlight w:val="none"/>
              </w:rPr>
              <w:t>合理最低价中标</w:t>
            </w:r>
            <w:r>
              <w:rPr>
                <w:rFonts w:ascii="宋体" w:hAnsi="宋体" w:eastAsia="宋体" w:cs="宋体"/>
                <w:sz w:val="24"/>
                <w:szCs w:val="24"/>
                <w:highlight w:val="none"/>
              </w:rPr>
              <w:t>。具体详见“第二部分投标须知第六条：评标原则”。</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6.合同签订</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6.1</w:t>
            </w:r>
          </w:p>
        </w:tc>
        <w:tc>
          <w:tcPr>
            <w:tcW w:w="4669"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见第二部分投标须知第七条。</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b/>
                <w:bCs/>
                <w:sz w:val="24"/>
                <w:szCs w:val="24"/>
                <w:highlight w:val="none"/>
              </w:rPr>
            </w:pPr>
            <w:r>
              <w:rPr>
                <w:rFonts w:ascii="宋体" w:hAnsi="宋体" w:eastAsia="宋体" w:cs="宋体"/>
                <w:b/>
                <w:bCs/>
                <w:sz w:val="24"/>
                <w:szCs w:val="24"/>
                <w:highlight w:val="none"/>
              </w:rPr>
              <w:t>7.交货期及付款方式</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7.1</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b/>
                <w:bCs/>
                <w:color w:val="000000"/>
                <w:sz w:val="24"/>
                <w:szCs w:val="24"/>
                <w:highlight w:val="none"/>
              </w:rPr>
            </w:pPr>
            <w:r>
              <w:rPr>
                <w:rFonts w:eastAsia="宋体" w:cs="宋体"/>
                <w:b/>
                <w:bCs/>
                <w:color w:val="000000"/>
                <w:sz w:val="24"/>
                <w:szCs w:val="24"/>
                <w:highlight w:val="none"/>
              </w:rPr>
              <w:t>交货期：</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自合同签定生效之日起，接续</w:t>
            </w:r>
            <w:r>
              <w:rPr>
                <w:rFonts w:hint="eastAsia" w:eastAsia="宋体" w:cs="宋体"/>
                <w:color w:val="000000"/>
                <w:sz w:val="24"/>
                <w:szCs w:val="24"/>
                <w:highlight w:val="none"/>
                <w:u w:val="single"/>
                <w:lang w:val="en-US" w:eastAsia="zh-CN"/>
              </w:rPr>
              <w:t xml:space="preserve"> 30 </w:t>
            </w:r>
            <w:r>
              <w:rPr>
                <w:rFonts w:eastAsia="宋体" w:cs="宋体"/>
                <w:color w:val="000000"/>
                <w:sz w:val="24"/>
                <w:szCs w:val="24"/>
                <w:highlight w:val="none"/>
              </w:rPr>
              <w:t>个日历日之内</w:t>
            </w:r>
            <w:r>
              <w:rPr>
                <w:rFonts w:hint="eastAsia" w:eastAsia="宋体" w:cs="宋体"/>
                <w:color w:val="000000"/>
                <w:sz w:val="24"/>
                <w:szCs w:val="24"/>
                <w:highlight w:val="none"/>
                <w:lang w:val="en-US" w:eastAsia="zh-CN"/>
              </w:rPr>
              <w:t>改造调试</w:t>
            </w:r>
            <w:r>
              <w:rPr>
                <w:rFonts w:eastAsia="宋体" w:cs="宋体"/>
                <w:color w:val="000000"/>
                <w:sz w:val="24"/>
                <w:szCs w:val="24"/>
                <w:highlight w:val="none"/>
              </w:rPr>
              <w:t>完毕。</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6</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安装调试工期超过</w:t>
            </w:r>
            <w:r>
              <w:rPr>
                <w:rFonts w:eastAsia="宋体" w:cs="宋体"/>
                <w:color w:val="000000"/>
                <w:sz w:val="24"/>
                <w:szCs w:val="24"/>
                <w:highlight w:val="none"/>
                <w:lang w:val="en-US" w:eastAsia="zh-CN"/>
              </w:rPr>
              <w:t>规定时间</w:t>
            </w:r>
            <w:r>
              <w:rPr>
                <w:rFonts w:eastAsia="宋体" w:cs="宋体"/>
                <w:color w:val="000000"/>
                <w:sz w:val="24"/>
                <w:szCs w:val="24"/>
                <w:highlight w:val="none"/>
              </w:rPr>
              <w:t>的，投标人应当随标书提供详细的工期计划。</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7.2</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交货方式：</w:t>
            </w:r>
            <w:r>
              <w:rPr>
                <w:rFonts w:eastAsia="宋体" w:cs="宋体"/>
                <w:color w:val="000000"/>
                <w:sz w:val="24"/>
                <w:szCs w:val="24"/>
                <w:highlight w:val="none"/>
              </w:rPr>
              <w:t>交钥匙方式；</w:t>
            </w:r>
          </w:p>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交货地点：</w:t>
            </w:r>
            <w:r>
              <w:rPr>
                <w:rFonts w:eastAsia="宋体" w:cs="宋体"/>
                <w:color w:val="000000"/>
                <w:sz w:val="24"/>
                <w:szCs w:val="24"/>
                <w:highlight w:val="none"/>
              </w:rPr>
              <w:t>济南市</w:t>
            </w:r>
            <w:r>
              <w:rPr>
                <w:rFonts w:eastAsia="宋体" w:cs="宋体"/>
                <w:color w:val="000000"/>
                <w:sz w:val="24"/>
                <w:szCs w:val="24"/>
                <w:highlight w:val="none"/>
                <w:lang w:val="en-US" w:eastAsia="zh-CN"/>
              </w:rPr>
              <w:t>章丘</w:t>
            </w:r>
            <w:r>
              <w:rPr>
                <w:rFonts w:eastAsia="宋体" w:cs="宋体"/>
                <w:color w:val="000000"/>
                <w:sz w:val="24"/>
                <w:szCs w:val="24"/>
                <w:highlight w:val="none"/>
              </w:rPr>
              <w:t>区</w:t>
            </w:r>
            <w:r>
              <w:rPr>
                <w:rFonts w:eastAsia="宋体" w:cs="宋体"/>
                <w:color w:val="000000"/>
                <w:sz w:val="24"/>
                <w:szCs w:val="24"/>
                <w:highlight w:val="none"/>
                <w:lang w:val="en-US" w:eastAsia="zh-CN"/>
              </w:rPr>
              <w:t>圣井镇济南动力有限公司发动机厂</w:t>
            </w:r>
            <w:r>
              <w:rPr>
                <w:rFonts w:eastAsia="宋体" w:cs="宋体"/>
                <w:color w:val="000000"/>
                <w:sz w:val="24"/>
                <w:szCs w:val="24"/>
                <w:highlight w:val="none"/>
              </w:rPr>
              <w:t>。</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7.3</w:t>
            </w:r>
          </w:p>
        </w:tc>
        <w:tc>
          <w:tcPr>
            <w:tcW w:w="4669" w:type="pct"/>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ind w:firstLine="482"/>
              <w:rPr>
                <w:rFonts w:ascii="宋体" w:hAnsi="宋体" w:eastAsia="宋体" w:cs="宋体"/>
                <w:sz w:val="24"/>
                <w:szCs w:val="24"/>
                <w:highlight w:val="none"/>
              </w:rPr>
            </w:pPr>
            <w:r>
              <w:rPr>
                <w:rFonts w:ascii="宋体" w:hAnsi="宋体" w:eastAsia="宋体" w:cs="宋体"/>
                <w:b/>
                <w:sz w:val="24"/>
                <w:szCs w:val="24"/>
                <w:highlight w:val="none"/>
              </w:rPr>
              <w:t>质保期：自设备验收档最终签署之日起</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u w:val="single"/>
              </w:rPr>
              <w:t>1</w:t>
            </w:r>
            <w:r>
              <w:rPr>
                <w:rFonts w:hint="eastAsia" w:ascii="宋体" w:hAnsi="宋体" w:eastAsia="宋体" w:cs="宋体"/>
                <w:b/>
                <w:sz w:val="24"/>
                <w:szCs w:val="24"/>
                <w:highlight w:val="none"/>
                <w:u w:val="single"/>
                <w:lang w:val="en-US" w:eastAsia="zh-CN"/>
              </w:rPr>
              <w:t xml:space="preserve"> </w:t>
            </w:r>
            <w:r>
              <w:rPr>
                <w:rFonts w:ascii="宋体" w:hAnsi="宋体" w:eastAsia="宋体" w:cs="宋体"/>
                <w:b/>
                <w:sz w:val="24"/>
                <w:szCs w:val="24"/>
                <w:highlight w:val="none"/>
              </w:rPr>
              <w:t>年。</w:t>
            </w:r>
            <w:r>
              <w:rPr>
                <w:rFonts w:ascii="宋体" w:hAnsi="宋体" w:eastAsia="宋体" w:cs="宋体"/>
                <w:sz w:val="24"/>
                <w:szCs w:val="24"/>
                <w:highlight w:val="none"/>
              </w:rPr>
              <w:t>（投标人可在满足上述最短质保期基础上竞报）</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7.4</w:t>
            </w:r>
          </w:p>
        </w:tc>
        <w:tc>
          <w:tcPr>
            <w:tcW w:w="4669" w:type="pct"/>
            <w:tcBorders>
              <w:top w:val="single" w:color="000000" w:sz="2" w:space="0"/>
              <w:left w:val="single" w:color="000000" w:sz="4" w:space="0"/>
              <w:bottom w:val="single" w:color="000000" w:sz="2" w:space="0"/>
              <w:right w:val="single" w:color="000000" w:sz="2" w:space="0"/>
            </w:tcBorders>
            <w:vAlign w:val="center"/>
          </w:tcPr>
          <w:p>
            <w:pPr>
              <w:pStyle w:val="2"/>
              <w:widowControl w:val="0"/>
              <w:spacing w:before="0" w:after="0"/>
              <w:ind w:firstLine="482"/>
              <w:rPr>
                <w:rFonts w:eastAsia="宋体" w:cs="宋体"/>
                <w:color w:val="000000"/>
                <w:sz w:val="24"/>
                <w:szCs w:val="24"/>
                <w:highlight w:val="none"/>
              </w:rPr>
            </w:pPr>
            <w:r>
              <w:rPr>
                <w:rFonts w:eastAsia="宋体" w:cs="宋体"/>
                <w:b/>
                <w:bCs/>
                <w:color w:val="000000"/>
                <w:sz w:val="24"/>
                <w:szCs w:val="24"/>
                <w:highlight w:val="none"/>
              </w:rPr>
              <w:t>付款方式：</w:t>
            </w:r>
            <w:r>
              <w:rPr>
                <w:rFonts w:eastAsia="宋体" w:cs="宋体"/>
                <w:b/>
                <w:bCs/>
                <w:color w:val="000000"/>
                <w:sz w:val="24"/>
                <w:szCs w:val="24"/>
                <w:highlight w:val="none"/>
                <w:u w:val="single"/>
              </w:rPr>
              <w:t>半年期商业汇票（包括银行承兑汇票和商业承兑汇票）</w:t>
            </w:r>
            <w:r>
              <w:rPr>
                <w:rFonts w:eastAsia="宋体" w:cs="宋体"/>
                <w:color w:val="000000"/>
                <w:sz w:val="24"/>
                <w:szCs w:val="24"/>
                <w:highlight w:val="none"/>
              </w:rPr>
              <w:t>：</w:t>
            </w:r>
          </w:p>
          <w:p>
            <w:pPr>
              <w:widowControl w:val="0"/>
              <w:numPr>
                <w:ilvl w:val="0"/>
                <w:numId w:val="2"/>
              </w:numP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pPr>
              <w:widowControl w:val="0"/>
              <w:spacing w:before="0" w:after="0"/>
              <w:ind w:firstLine="480"/>
              <w:rPr>
                <w:highlight w:val="none"/>
              </w:rPr>
            </w:pPr>
            <w:r>
              <w:rPr>
                <w:rFonts w:hint="eastAsia" w:ascii="宋体" w:hAnsi="宋体" w:eastAsia="宋体" w:cs="宋体"/>
                <w:color w:val="000000"/>
                <w:sz w:val="24"/>
                <w:szCs w:val="24"/>
                <w:highlight w:val="none"/>
                <w:lang w:val="en-US" w:eastAsia="zh-CN"/>
              </w:rPr>
              <w:t>A</w:t>
            </w:r>
            <w:r>
              <w:rPr>
                <w:rFonts w:ascii="宋体" w:hAnsi="宋体" w:eastAsia="宋体" w:cs="宋体"/>
                <w:color w:val="000000"/>
                <w:sz w:val="24"/>
                <w:szCs w:val="24"/>
                <w:highlight w:val="none"/>
              </w:rPr>
              <w:t>.设备</w:t>
            </w:r>
            <w:r>
              <w:rPr>
                <w:rFonts w:ascii="宋体" w:hAnsi="宋体" w:eastAsia="宋体" w:cs="宋体"/>
                <w:color w:val="000000"/>
                <w:sz w:val="24"/>
                <w:szCs w:val="24"/>
                <w:highlight w:val="none"/>
                <w:lang w:val="en-US" w:eastAsia="zh-CN"/>
              </w:rPr>
              <w:t>全部</w:t>
            </w:r>
            <w:r>
              <w:rPr>
                <w:rFonts w:ascii="宋体" w:hAnsi="宋体" w:eastAsia="宋体" w:cs="宋体"/>
                <w:color w:val="000000"/>
                <w:sz w:val="24"/>
                <w:szCs w:val="24"/>
                <w:highlight w:val="none"/>
              </w:rPr>
              <w:t>到货后，中标人提交金额为合同价款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%的收据并提供合同价款</w:t>
            </w:r>
            <w:r>
              <w:rPr>
                <w:rFonts w:ascii="宋体" w:hAnsi="宋体" w:eastAsia="宋体" w:cs="宋体"/>
                <w:color w:val="000000"/>
                <w:sz w:val="24"/>
                <w:szCs w:val="24"/>
                <w:highlight w:val="none"/>
                <w:lang w:val="en-US" w:eastAsia="zh-CN"/>
              </w:rPr>
              <w:t>30</w:t>
            </w:r>
            <w:r>
              <w:rPr>
                <w:rFonts w:ascii="宋体" w:hAnsi="宋体" w:eastAsia="宋体" w:cs="宋体"/>
                <w:color w:val="000000"/>
                <w:sz w:val="24"/>
                <w:szCs w:val="24"/>
                <w:highlight w:val="none"/>
              </w:rPr>
              <w:t>%的增值税专用发票（含复印件二份），经招标人依照财务制度审核通过后30日支付；</w:t>
            </w:r>
          </w:p>
          <w:p>
            <w:pPr>
              <w:widowControl w:val="0"/>
              <w:spacing w:before="0" w:after="0"/>
              <w:ind w:firstLine="48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B</w:t>
            </w: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6</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7</w:t>
            </w:r>
            <w:r>
              <w:rPr>
                <w:rFonts w:ascii="宋体" w:hAnsi="宋体" w:eastAsia="宋体" w:cs="宋体"/>
                <w:color w:val="000000"/>
                <w:sz w:val="24"/>
                <w:szCs w:val="24"/>
                <w:highlight w:val="none"/>
              </w:rPr>
              <w:t>0%的增值税专用发票（含复印件二份），经招标人依照财务制度审核通过后30日支付；</w:t>
            </w:r>
          </w:p>
          <w:p>
            <w:pPr>
              <w:widowControl w:val="0"/>
              <w:spacing w:before="0" w:after="0"/>
              <w:ind w:firstLine="48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kern w:val="0"/>
                <w:sz w:val="24"/>
                <w:szCs w:val="24"/>
                <w:highlight w:val="none"/>
              </w:rPr>
            </w:pPr>
            <w:r>
              <w:rPr>
                <w:rFonts w:ascii="宋体" w:hAnsi="宋体" w:eastAsia="宋体" w:cs="宋体"/>
                <w:kern w:val="0"/>
                <w:sz w:val="24"/>
                <w:szCs w:val="24"/>
                <w:highlight w:val="none"/>
              </w:rPr>
              <w:t>7.5</w:t>
            </w:r>
          </w:p>
        </w:tc>
        <w:tc>
          <w:tcPr>
            <w:tcW w:w="4669" w:type="pct"/>
            <w:tcBorders>
              <w:top w:val="single" w:color="000000" w:sz="2" w:space="0"/>
              <w:left w:val="single" w:color="000000" w:sz="4" w:space="0"/>
              <w:bottom w:val="single" w:color="000000" w:sz="2" w:space="0"/>
              <w:right w:val="single" w:color="000000" w:sz="2" w:space="0"/>
            </w:tcBorders>
            <w:vAlign w:val="center"/>
          </w:tcPr>
          <w:p>
            <w:pPr>
              <w:widowControl w:val="0"/>
              <w:spacing w:before="0" w:after="0"/>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增值税专用发票开票信息：</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名称：中国重汽集团济南动力有限公司</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地址：章丘市圣井唐王山路北潘王路西</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纳税人识别号：91370100787411873C</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开户行：中国银行章丘支行</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sz w:val="24"/>
                <w:szCs w:val="24"/>
                <w:highlight w:val="none"/>
              </w:rPr>
              <w:t>联行号：104451040689</w:t>
            </w:r>
          </w:p>
          <w:p>
            <w:pPr>
              <w:widowControl w:val="0"/>
              <w:shd w:val="clear"/>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电话：0531-58062198</w:t>
            </w:r>
          </w:p>
          <w:p>
            <w:pPr>
              <w:widowControl w:val="0"/>
              <w:spacing w:before="0" w:after="0"/>
              <w:ind w:firstLine="480"/>
              <w:rPr>
                <w:rFonts w:ascii="宋体" w:hAnsi="宋体" w:cs="宋体"/>
                <w:bCs/>
                <w:sz w:val="24"/>
                <w:szCs w:val="24"/>
                <w:highlight w:val="none"/>
              </w:rPr>
            </w:pPr>
            <w:r>
              <w:rPr>
                <w:rFonts w:ascii="宋体" w:hAnsi="宋体" w:eastAsia="宋体" w:cs="宋体"/>
                <w:color w:val="000000"/>
                <w:sz w:val="24"/>
                <w:szCs w:val="24"/>
                <w:highlight w:val="none"/>
              </w:rPr>
              <w:t>账号：2377 0557 4474</w:t>
            </w:r>
          </w:p>
        </w:tc>
      </w:tr>
      <w:tr>
        <w:tblPrEx>
          <w:tblCellMar>
            <w:top w:w="0" w:type="dxa"/>
            <w:left w:w="28" w:type="dxa"/>
            <w:bottom w:w="0" w:type="dxa"/>
            <w:right w:w="28" w:type="dxa"/>
          </w:tblCellMar>
        </w:tblPrEx>
        <w:trPr>
          <w:trHeight w:val="23" w:hRule="atLeast"/>
          <w:jc w:val="center"/>
        </w:trPr>
        <w:tc>
          <w:tcPr>
            <w:tcW w:w="5000" w:type="pct"/>
            <w:gridSpan w:val="2"/>
            <w:tcBorders>
              <w:top w:val="single" w:color="000000" w:sz="2" w:space="0"/>
              <w:left w:val="single" w:color="000000" w:sz="2" w:space="0"/>
              <w:bottom w:val="single" w:color="000000" w:sz="2" w:space="0"/>
              <w:right w:val="single" w:color="000000" w:sz="2" w:space="0"/>
            </w:tcBorders>
            <w:vAlign w:val="center"/>
          </w:tcPr>
          <w:p>
            <w:pPr>
              <w:pStyle w:val="12"/>
              <w:widowControl w:val="0"/>
              <w:spacing w:before="0" w:after="0"/>
              <w:jc w:val="center"/>
              <w:rPr>
                <w:rFonts w:ascii="宋体" w:hAnsi="宋体" w:eastAsia="宋体" w:cs="宋体"/>
                <w:sz w:val="24"/>
                <w:szCs w:val="24"/>
                <w:highlight w:val="none"/>
              </w:rPr>
            </w:pPr>
            <w:r>
              <w:rPr>
                <w:rFonts w:ascii="宋体" w:hAnsi="宋体" w:eastAsia="宋体" w:cs="宋体"/>
                <w:b/>
                <w:bCs/>
                <w:sz w:val="24"/>
                <w:szCs w:val="24"/>
                <w:highlight w:val="none"/>
              </w:rPr>
              <w:t>8.其他</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8.1</w:t>
            </w:r>
          </w:p>
        </w:tc>
        <w:tc>
          <w:tcPr>
            <w:tcW w:w="4669" w:type="pct"/>
            <w:tcBorders>
              <w:top w:val="single" w:color="000000" w:sz="2" w:space="0"/>
              <w:left w:val="single" w:color="000000" w:sz="4" w:space="0"/>
              <w:bottom w:val="single" w:color="000000" w:sz="2" w:space="0"/>
              <w:right w:val="single" w:color="000000" w:sz="2" w:space="0"/>
            </w:tcBorders>
            <w:vAlign w:val="center"/>
          </w:tcPr>
          <w:p>
            <w:pPr>
              <w:pStyle w:val="12"/>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8.2</w:t>
            </w:r>
          </w:p>
        </w:tc>
        <w:tc>
          <w:tcPr>
            <w:tcW w:w="4669" w:type="pct"/>
            <w:tcBorders>
              <w:top w:val="single" w:color="000000" w:sz="2" w:space="0"/>
              <w:left w:val="single" w:color="000000" w:sz="4" w:space="0"/>
              <w:bottom w:val="single" w:color="000000" w:sz="2" w:space="0"/>
              <w:right w:val="single" w:color="000000" w:sz="2" w:space="0"/>
            </w:tcBorders>
            <w:vAlign w:val="center"/>
          </w:tcPr>
          <w:p>
            <w:pPr>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tblPrEx>
          <w:tblCellMar>
            <w:top w:w="0" w:type="dxa"/>
            <w:left w:w="28" w:type="dxa"/>
            <w:bottom w:w="0" w:type="dxa"/>
            <w:right w:w="28" w:type="dxa"/>
          </w:tblCellMar>
        </w:tblPrEx>
        <w:trPr>
          <w:trHeight w:val="23" w:hRule="atLeast"/>
          <w:jc w:val="center"/>
        </w:trPr>
        <w:tc>
          <w:tcPr>
            <w:tcW w:w="330" w:type="pct"/>
            <w:tcBorders>
              <w:top w:val="single" w:color="000000" w:sz="2" w:space="0"/>
              <w:left w:val="single" w:color="000000" w:sz="2" w:space="0"/>
              <w:bottom w:val="single" w:color="000000" w:sz="2" w:space="0"/>
              <w:right w:val="single" w:color="000000" w:sz="4" w:space="0"/>
            </w:tcBorders>
            <w:vAlign w:val="center"/>
          </w:tcPr>
          <w:p>
            <w:pPr>
              <w:widowControl w:val="0"/>
              <w:spacing w:before="0" w:after="0"/>
              <w:jc w:val="center"/>
              <w:rPr>
                <w:rFonts w:ascii="宋体" w:hAnsi="宋体" w:eastAsia="宋体" w:cs="宋体"/>
                <w:sz w:val="24"/>
                <w:szCs w:val="24"/>
                <w:highlight w:val="none"/>
              </w:rPr>
            </w:pPr>
            <w:r>
              <w:rPr>
                <w:rFonts w:ascii="宋体" w:hAnsi="宋体" w:eastAsia="宋体" w:cs="宋体"/>
                <w:sz w:val="24"/>
                <w:szCs w:val="24"/>
                <w:highlight w:val="none"/>
              </w:rPr>
              <w:t>8.3</w:t>
            </w:r>
          </w:p>
        </w:tc>
        <w:tc>
          <w:tcPr>
            <w:tcW w:w="4669" w:type="pct"/>
            <w:tcBorders>
              <w:top w:val="single" w:color="000000" w:sz="2" w:space="0"/>
              <w:left w:val="single" w:color="000000" w:sz="4" w:space="0"/>
              <w:bottom w:val="single" w:color="000000" w:sz="2" w:space="0"/>
              <w:right w:val="single" w:color="000000" w:sz="2" w:space="0"/>
            </w:tcBorders>
            <w:vAlign w:val="center"/>
          </w:tcPr>
          <w:p>
            <w:pPr>
              <w:pStyle w:val="12"/>
              <w:widowControl w:val="0"/>
              <w:spacing w:before="0" w:after="0"/>
              <w:ind w:firstLine="480"/>
              <w:rPr>
                <w:rFonts w:ascii="宋体" w:hAnsi="宋体" w:eastAsia="宋体" w:cs="宋体"/>
                <w:sz w:val="24"/>
                <w:szCs w:val="24"/>
                <w:highlight w:val="none"/>
              </w:rPr>
            </w:pPr>
            <w:r>
              <w:rPr>
                <w:rFonts w:ascii="宋体" w:hAnsi="宋体" w:eastAsia="宋体" w:cs="宋体"/>
                <w:sz w:val="24"/>
                <w:szCs w:val="24"/>
                <w:highlight w:val="none"/>
              </w:rPr>
              <w:t>中标方应在合同签订后</w:t>
            </w:r>
            <w:r>
              <w:rPr>
                <w:rFonts w:hint="eastAsia" w:ascii="宋体" w:hAnsi="宋体" w:eastAsia="宋体" w:cs="宋体"/>
                <w:sz w:val="24"/>
                <w:szCs w:val="24"/>
                <w:highlight w:val="none"/>
                <w:u w:val="single"/>
                <w:lang w:val="en-US" w:eastAsia="zh-CN"/>
              </w:rPr>
              <w:t xml:space="preserve"> </w:t>
            </w:r>
            <w:r>
              <w:rPr>
                <w:rFonts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lang w:val="en-US" w:eastAsia="zh-CN"/>
              </w:rPr>
              <w:t xml:space="preserve">5 </w:t>
            </w:r>
            <w:r>
              <w:rPr>
                <w:rFonts w:ascii="宋体" w:hAnsi="宋体" w:eastAsia="宋体" w:cs="宋体"/>
                <w:sz w:val="24"/>
                <w:szCs w:val="24"/>
                <w:highlight w:val="none"/>
              </w:rPr>
              <w:t>日内需根据设计</w:t>
            </w:r>
            <w:r>
              <w:rPr>
                <w:rStyle w:val="48"/>
                <w:rFonts w:ascii="宋体" w:hAnsi="宋体" w:eastAsia="宋体" w:cs="宋体"/>
                <w:sz w:val="24"/>
                <w:szCs w:val="24"/>
                <w:highlight w:val="none"/>
              </w:rPr>
              <w:t>提资</w:t>
            </w:r>
            <w:r>
              <w:rPr>
                <w:rFonts w:ascii="宋体" w:hAnsi="宋体" w:eastAsia="宋体" w:cs="宋体"/>
                <w:sz w:val="24"/>
                <w:szCs w:val="24"/>
                <w:highlight w:val="none"/>
              </w:rPr>
              <w:t>要求提供详细的</w:t>
            </w:r>
            <w:r>
              <w:rPr>
                <w:rStyle w:val="48"/>
                <w:rFonts w:ascii="宋体" w:hAnsi="宋体" w:eastAsia="宋体" w:cs="宋体"/>
                <w:sz w:val="24"/>
                <w:szCs w:val="24"/>
                <w:highlight w:val="none"/>
              </w:rPr>
              <w:t>设备</w:t>
            </w:r>
            <w:r>
              <w:rPr>
                <w:rFonts w:ascii="宋体" w:hAnsi="宋体" w:eastAsia="宋体" w:cs="宋体"/>
                <w:sz w:val="24"/>
                <w:szCs w:val="24"/>
                <w:highlight w:val="none"/>
              </w:rPr>
              <w:t>图纸等资料,其中包含</w:t>
            </w:r>
            <w:r>
              <w:rPr>
                <w:rStyle w:val="48"/>
                <w:rFonts w:ascii="宋体" w:hAnsi="宋体" w:eastAsia="宋体" w:cs="宋体"/>
                <w:sz w:val="24"/>
                <w:szCs w:val="24"/>
                <w:highlight w:val="none"/>
              </w:rPr>
              <w:t>设备</w:t>
            </w:r>
            <w:r>
              <w:rPr>
                <w:rFonts w:ascii="宋体" w:hAnsi="宋体" w:eastAsia="宋体" w:cs="宋体"/>
                <w:sz w:val="24"/>
                <w:szCs w:val="24"/>
                <w:highlight w:val="none"/>
              </w:rPr>
              <w:t>的外形尺寸,运维空间</w:t>
            </w:r>
            <w:r>
              <w:rPr>
                <w:rStyle w:val="48"/>
                <w:rFonts w:ascii="宋体" w:hAnsi="宋体" w:eastAsia="宋体" w:cs="宋体"/>
                <w:sz w:val="24"/>
                <w:szCs w:val="24"/>
                <w:highlight w:val="none"/>
              </w:rPr>
              <w:t>,设备</w:t>
            </w:r>
            <w:r>
              <w:rPr>
                <w:rFonts w:ascii="宋体" w:hAnsi="宋体" w:eastAsia="宋体" w:cs="宋体"/>
                <w:sz w:val="24"/>
                <w:szCs w:val="24"/>
                <w:highlight w:val="none"/>
              </w:rPr>
              <w:t>运行参数,材料材质,界面信息,规格,技术需求.等资料，提交给买方，项目设计单位以此补充设计施工图纸，中标人最终审核确认。对于提资不准确不全面、不符合招标档技术要求、提资变更导致的损失由卖方承担，并承担违约责任。</w:t>
            </w:r>
            <w:bookmarkStart w:id="4" w:name="_Toc346372875"/>
            <w:bookmarkEnd w:id="4"/>
          </w:p>
        </w:tc>
      </w:tr>
    </w:tbl>
    <w:p>
      <w:pPr>
        <w:rPr>
          <w:highlight w:val="none"/>
        </w:rPr>
        <w:sectPr>
          <w:headerReference r:id="rId8" w:type="default"/>
          <w:footerReference r:id="rId9" w:type="default"/>
          <w:pgSz w:w="11906" w:h="16838"/>
          <w:pgMar w:top="1304" w:right="1418" w:bottom="1304" w:left="1418" w:header="724" w:footer="851" w:gutter="0"/>
          <w:pgNumType w:fmt="decimal" w:start="3"/>
          <w:cols w:space="720" w:num="1"/>
          <w:formProt w:val="0"/>
          <w:docGrid w:linePitch="290" w:charSpace="-4097"/>
        </w:sectPr>
      </w:pPr>
    </w:p>
    <w:p>
      <w:pPr>
        <w:pStyle w:val="2"/>
        <w:numPr>
          <w:ilvl w:val="0"/>
          <w:numId w:val="0"/>
        </w:numPr>
        <w:jc w:val="center"/>
        <w:outlineLvl w:val="0"/>
        <w:rPr>
          <w:rFonts w:ascii="Calibri" w:hAnsi="Calibri" w:eastAsia="宋体" w:cs="Times New Roman"/>
          <w:b/>
          <w:bCs/>
          <w:kern w:val="2"/>
          <w:sz w:val="36"/>
          <w:szCs w:val="44"/>
          <w:highlight w:val="none"/>
        </w:rPr>
      </w:pPr>
      <w:bookmarkStart w:id="5" w:name="_Toc20518"/>
      <w:r>
        <w:rPr>
          <w:rFonts w:ascii="Calibri" w:hAnsi="Calibri" w:eastAsia="宋体" w:cs="Times New Roman"/>
          <w:b/>
          <w:bCs/>
          <w:kern w:val="2"/>
          <w:sz w:val="36"/>
          <w:szCs w:val="44"/>
          <w:highlight w:val="none"/>
        </w:rPr>
        <w:t>第二部分 投标须知</w:t>
      </w:r>
      <w:bookmarkEnd w:id="5"/>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一、项目名称</w:t>
      </w:r>
    </w:p>
    <w:p>
      <w:pPr>
        <w:spacing w:line="360" w:lineRule="auto"/>
        <w:ind w:left="1679" w:hanging="1200"/>
        <w:rPr>
          <w:rFonts w:ascii="宋体" w:hAnsi="宋体" w:eastAsia="宋体" w:cs="宋体"/>
          <w:color w:val="000000"/>
          <w:sz w:val="24"/>
          <w:szCs w:val="24"/>
          <w:highlight w:val="none"/>
          <w:u w:val="single"/>
        </w:rPr>
      </w:pPr>
      <w:r>
        <w:rPr>
          <w:rFonts w:ascii="宋体" w:hAnsi="宋体" w:eastAsia="宋体" w:cs="宋体"/>
          <w:color w:val="000000"/>
          <w:sz w:val="24"/>
          <w:szCs w:val="24"/>
          <w:highlight w:val="none"/>
        </w:rPr>
        <w:t>项目名称：见《投标须知前附表》。</w:t>
      </w:r>
      <w:bookmarkStart w:id="6" w:name="OLE_LINK1"/>
      <w:bookmarkEnd w:id="6"/>
    </w:p>
    <w:p>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招标内容及形式</w:t>
      </w:r>
    </w:p>
    <w:p>
      <w:pPr>
        <w:pStyle w:val="2"/>
        <w:spacing w:line="360" w:lineRule="auto"/>
        <w:ind w:firstLine="480"/>
        <w:rPr>
          <w:rFonts w:eastAsia="宋体" w:cs="宋体"/>
          <w:sz w:val="24"/>
          <w:szCs w:val="24"/>
          <w:highlight w:val="none"/>
        </w:rPr>
      </w:pPr>
      <w:r>
        <w:rPr>
          <w:rFonts w:eastAsia="宋体" w:cs="宋体"/>
          <w:color w:val="000000"/>
          <w:sz w:val="24"/>
          <w:szCs w:val="24"/>
          <w:highlight w:val="none"/>
        </w:rPr>
        <w:t>见《投标须知前附表》。</w:t>
      </w:r>
    </w:p>
    <w:p>
      <w:pPr>
        <w:spacing w:line="360" w:lineRule="auto"/>
        <w:ind w:firstLine="482"/>
        <w:rPr>
          <w:rFonts w:ascii="宋体" w:hAnsi="宋体" w:eastAsia="宋体" w:cs="宋体"/>
          <w:color w:val="000000"/>
          <w:sz w:val="24"/>
          <w:szCs w:val="24"/>
          <w:highlight w:val="none"/>
        </w:rPr>
      </w:pPr>
      <w:r>
        <w:rPr>
          <w:rFonts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交货及付款</w:t>
      </w:r>
    </w:p>
    <w:p>
      <w:pPr>
        <w:pStyle w:val="2"/>
        <w:spacing w:line="360" w:lineRule="auto"/>
        <w:ind w:firstLine="480"/>
        <w:rPr>
          <w:rFonts w:eastAsia="宋体" w:cs="宋体"/>
          <w:sz w:val="24"/>
          <w:szCs w:val="24"/>
          <w:highlight w:val="none"/>
        </w:rPr>
      </w:pPr>
      <w:r>
        <w:rPr>
          <w:rFonts w:eastAsia="宋体" w:cs="宋体"/>
          <w:color w:val="000000"/>
          <w:sz w:val="24"/>
          <w:szCs w:val="24"/>
          <w:highlight w:val="none"/>
        </w:rPr>
        <w:t>交货期、交货地点、交货方式、付款方式及比例见《投标须知前附表》第7条。</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四、投标说明</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1.报名方式</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w:t>
      </w:r>
      <w:r>
        <w:rPr>
          <w:rFonts w:ascii="宋体" w:hAnsi="宋体" w:eastAsia="宋体" w:cs="宋体"/>
          <w:color w:val="000000"/>
          <w:sz w:val="24"/>
          <w:szCs w:val="24"/>
          <w:highlight w:val="none"/>
          <w:lang w:val="en-US" w:eastAsia="zh-CN"/>
        </w:rPr>
        <w:t>5</w:t>
      </w:r>
      <w:r>
        <w:rPr>
          <w:rFonts w:ascii="宋体" w:hAnsi="宋体" w:eastAsia="宋体" w:cs="宋体"/>
          <w:color w:val="000000"/>
          <w:sz w:val="24"/>
          <w:szCs w:val="24"/>
          <w:highlight w:val="none"/>
        </w:rPr>
        <w:t>）”进行注册，</w:t>
      </w:r>
      <w:r>
        <w:rPr>
          <w:rFonts w:eastAsia="宋体" w:cs="Times New Roman"/>
          <w:color w:val="000000"/>
          <w:sz w:val="24"/>
          <w:szCs w:val="24"/>
          <w:highlight w:val="none"/>
        </w:rPr>
        <w:t>注册完毕后按照</w:t>
      </w:r>
      <w:r>
        <w:rPr>
          <w:rFonts w:ascii="宋体" w:hAnsi="宋体" w:eastAsia="宋体" w:cs="宋体"/>
          <w:b/>
          <w:color w:val="000000"/>
          <w:sz w:val="24"/>
          <w:szCs w:val="24"/>
          <w:highlight w:val="none"/>
        </w:rPr>
        <w:t>“SRM系统供应商用户手册（附件1</w:t>
      </w:r>
      <w:r>
        <w:rPr>
          <w:rFonts w:ascii="宋体" w:hAnsi="宋体" w:eastAsia="宋体" w:cs="宋体"/>
          <w:b/>
          <w:color w:val="000000"/>
          <w:sz w:val="24"/>
          <w:szCs w:val="24"/>
          <w:highlight w:val="none"/>
          <w:lang w:val="en-US" w:eastAsia="zh-CN"/>
        </w:rPr>
        <w:t>6</w:t>
      </w:r>
      <w:r>
        <w:rPr>
          <w:rFonts w:ascii="宋体" w:hAnsi="宋体" w:eastAsia="宋体" w:cs="宋体"/>
          <w:b/>
          <w:color w:val="000000"/>
          <w:sz w:val="24"/>
          <w:szCs w:val="24"/>
          <w:highlight w:val="none"/>
        </w:rPr>
        <w:t>）”登录系统，</w:t>
      </w:r>
      <w:r>
        <w:rPr>
          <w:rFonts w:ascii="宋体" w:hAnsi="宋体" w:eastAsia="宋体" w:cs="宋体"/>
          <w:color w:val="000000"/>
          <w:sz w:val="24"/>
          <w:szCs w:val="24"/>
          <w:highlight w:val="none"/>
        </w:rPr>
        <w:t>进入“供应商应标”，选择对应的项目，点击“应标”后按照招标档第三部分投标档组成资格证明档中的1.1-1.1</w:t>
      </w:r>
      <w:r>
        <w:rPr>
          <w:rFonts w:ascii="宋体" w:hAnsi="宋体" w:eastAsia="宋体" w:cs="宋体"/>
          <w:color w:val="000000"/>
          <w:sz w:val="24"/>
          <w:szCs w:val="24"/>
          <w:highlight w:val="none"/>
          <w:lang w:val="en-US" w:eastAsia="zh-CN"/>
        </w:rPr>
        <w:t>3</w:t>
      </w:r>
      <w:r>
        <w:rPr>
          <w:rFonts w:ascii="宋体" w:hAnsi="宋体" w:eastAsia="宋体" w:cs="宋体"/>
          <w:color w:val="000000"/>
          <w:sz w:val="24"/>
          <w:szCs w:val="24"/>
          <w:highlight w:val="none"/>
        </w:rPr>
        <w:t>准备资料并上传，资质审查通过即为报名成功，公示期间请尽快报名。</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投标保证金缴纳的时候，</w:t>
      </w:r>
      <w:r>
        <w:rPr>
          <w:rFonts w:ascii="宋体" w:hAnsi="宋体" w:eastAsia="宋体" w:cs="宋体"/>
          <w:b/>
          <w:bCs/>
          <w:color w:val="000000"/>
          <w:sz w:val="24"/>
          <w:szCs w:val="24"/>
          <w:highlight w:val="none"/>
        </w:rPr>
        <w:t>务必备注所投标的项目名称</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不按要求报名的，或因未提供相关信息导致后期无法退回保证金的，需投标人承担责任。</w:t>
      </w:r>
    </w:p>
    <w:p>
      <w:pPr>
        <w:keepNext/>
        <w:keepLines/>
        <w:numPr>
          <w:ilvl w:val="0"/>
          <w:numId w:val="4"/>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投标条件</w:t>
      </w:r>
    </w:p>
    <w:p>
      <w:pPr>
        <w:pStyle w:val="2"/>
        <w:spacing w:line="360" w:lineRule="auto"/>
        <w:ind w:firstLine="480"/>
        <w:rPr>
          <w:rFonts w:eastAsia="宋体" w:cs="宋体"/>
          <w:b/>
          <w:color w:val="000000"/>
          <w:sz w:val="24"/>
          <w:szCs w:val="24"/>
          <w:highlight w:val="none"/>
        </w:rPr>
      </w:pPr>
      <w:r>
        <w:rPr>
          <w:rFonts w:eastAsia="宋体" w:cs="宋体"/>
          <w:b/>
          <w:bCs/>
          <w:color w:val="000000"/>
          <w:sz w:val="24"/>
          <w:szCs w:val="24"/>
          <w:highlight w:val="none"/>
        </w:rPr>
        <w:t>对于中国境内投标人，投标条件详见招标档“第一部分投标须知前附表1.6”。</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3.报价</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3.1</w:t>
      </w:r>
      <w:r>
        <w:rPr>
          <w:rFonts w:eastAsia="宋体" w:cs="宋体"/>
          <w:sz w:val="24"/>
          <w:szCs w:val="24"/>
          <w:highlight w:val="none"/>
        </w:rPr>
        <w:t>本次招投标为公开招标</w:t>
      </w:r>
      <w:r>
        <w:rPr>
          <w:rFonts w:eastAsia="宋体" w:cs="宋体"/>
          <w:b/>
          <w:sz w:val="24"/>
          <w:szCs w:val="24"/>
          <w:highlight w:val="none"/>
        </w:rPr>
        <w:t>；</w:t>
      </w:r>
      <w:r>
        <w:rPr>
          <w:rFonts w:eastAsia="宋体" w:cs="宋体"/>
          <w:color w:val="000000"/>
          <w:sz w:val="24"/>
          <w:szCs w:val="24"/>
          <w:highlight w:val="none"/>
        </w:rPr>
        <w:t>评标流程以及规则详见本部分第六条评标原则。</w:t>
      </w:r>
    </w:p>
    <w:p>
      <w:pPr>
        <w:spacing w:line="360" w:lineRule="auto"/>
        <w:ind w:firstLine="235"/>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投标人自行勘察现场，进行合理报</w:t>
      </w:r>
      <w:r>
        <w:rPr>
          <w:rFonts w:ascii="宋体" w:hAnsi="宋体" w:eastAsia="宋体" w:cs="宋体"/>
          <w:color w:val="auto"/>
          <w:kern w:val="2"/>
          <w:sz w:val="24"/>
          <w:szCs w:val="24"/>
          <w:highlight w:val="none"/>
          <w:lang w:val="en-US" w:eastAsia="zh-CN" w:bidi="ar-SA"/>
        </w:rPr>
        <w:t>价。</w:t>
      </w:r>
      <w:r>
        <w:rPr>
          <w:rFonts w:hint="eastAsia" w:ascii="宋体" w:hAnsi="宋体" w:eastAsia="宋体" w:cs="宋体"/>
          <w:color w:val="auto"/>
          <w:kern w:val="2"/>
          <w:sz w:val="24"/>
          <w:szCs w:val="24"/>
          <w:highlight w:val="none"/>
          <w:lang w:val="en-US" w:eastAsia="zh-CN" w:bidi="ar-SA"/>
        </w:rPr>
        <w:t>报价应为：投标方与招标人或其指派的答疑人员充分沟通确认基础上，由投标人在满足招标人所提出的、与本项目所有相关环节有关的所有费用，</w:t>
      </w:r>
      <w:r>
        <w:rPr>
          <w:rFonts w:ascii="宋体" w:hAnsi="宋体" w:eastAsia="宋体" w:cs="宋体"/>
          <w:color w:val="000000"/>
          <w:sz w:val="24"/>
          <w:szCs w:val="24"/>
          <w:highlight w:val="none"/>
        </w:rPr>
        <w:t>应包括设备费、原厂服务费及相关配件、随机资料、保险、税费、运杂、安装调试、与其他专业配合及可预见的风险以及其他不可预见等全部费用。</w:t>
      </w:r>
    </w:p>
    <w:p>
      <w:pPr>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3.2</w:t>
      </w:r>
      <w:r>
        <w:rPr>
          <w:rFonts w:ascii="宋体" w:hAnsi="宋体" w:eastAsia="宋体" w:cs="宋体"/>
          <w:b/>
          <w:bCs/>
          <w:color w:val="000000"/>
          <w:sz w:val="24"/>
          <w:szCs w:val="24"/>
          <w:highlight w:val="none"/>
        </w:rPr>
        <w:t>所有报价货币单位为：</w:t>
      </w:r>
      <w:r>
        <w:rPr>
          <w:rFonts w:ascii="宋体" w:hAnsi="宋体" w:eastAsia="宋体" w:cs="宋体"/>
          <w:b/>
          <w:bCs/>
          <w:color w:val="000000"/>
          <w:sz w:val="24"/>
          <w:szCs w:val="24"/>
          <w:highlight w:val="none"/>
          <w:u w:val="single"/>
        </w:rPr>
        <w:t xml:space="preserve">         </w:t>
      </w:r>
      <w:r>
        <w:rPr>
          <w:rFonts w:ascii="宋体" w:hAnsi="宋体" w:eastAsia="宋体" w:cs="宋体"/>
          <w:b/>
          <w:bCs/>
          <w:color w:val="000000"/>
          <w:sz w:val="24"/>
          <w:szCs w:val="24"/>
          <w:highlight w:val="none"/>
        </w:rPr>
        <w:t>元【人民币（应同时报含税价和不含税价并写明税率）】。</w:t>
      </w:r>
    </w:p>
    <w:p>
      <w:pPr>
        <w:keepNext/>
        <w:keepLines/>
        <w:numPr>
          <w:ilvl w:val="0"/>
          <w:numId w:val="0"/>
        </w:numPr>
        <w:spacing w:line="360" w:lineRule="auto"/>
        <w:ind w:firstLine="482"/>
        <w:outlineLvl w:val="2"/>
        <w:rPr>
          <w:rFonts w:ascii="宋体" w:hAnsi="宋体" w:eastAsia="宋体" w:cs="宋体"/>
          <w:sz w:val="24"/>
          <w:szCs w:val="24"/>
          <w:highlight w:val="none"/>
        </w:rPr>
      </w:pPr>
      <w:r>
        <w:rPr>
          <w:rFonts w:ascii="宋体" w:hAnsi="宋体" w:eastAsia="宋体" w:cs="宋体"/>
          <w:b/>
          <w:bCs/>
          <w:color w:val="000000"/>
          <w:sz w:val="24"/>
          <w:szCs w:val="24"/>
          <w:highlight w:val="none"/>
        </w:rPr>
        <w:t>4.设备要求</w:t>
      </w:r>
      <w:r>
        <w:rPr>
          <w:rFonts w:hint="eastAsia" w:ascii="宋体" w:hAnsi="宋体" w:eastAsia="宋体" w:cs="宋体"/>
          <w:b/>
          <w:bCs/>
          <w:color w:val="FF0000"/>
          <w:sz w:val="24"/>
          <w:szCs w:val="24"/>
          <w:highlight w:val="none"/>
          <w:lang w:eastAsia="zh-CN"/>
        </w:rPr>
        <w:t>（</w:t>
      </w:r>
      <w:r>
        <w:rPr>
          <w:rFonts w:hint="eastAsia" w:ascii="宋体" w:hAnsi="宋体" w:eastAsia="宋体" w:cs="宋体"/>
          <w:color w:val="FF0000"/>
          <w:highlight w:val="none"/>
        </w:rPr>
        <w:t>本项目涉及到的</w:t>
      </w:r>
      <w:r>
        <w:rPr>
          <w:rFonts w:hint="eastAsia" w:ascii="宋体" w:hAnsi="宋体" w:eastAsia="宋体" w:cs="宋体"/>
          <w:color w:val="FF0000"/>
          <w:highlight w:val="none"/>
          <w:lang w:eastAsia="zh-CN"/>
        </w:rPr>
        <w:t>，</w:t>
      </w:r>
      <w:r>
        <w:rPr>
          <w:rFonts w:hint="eastAsia" w:ascii="宋体" w:hAnsi="宋体" w:eastAsia="宋体" w:cs="宋体"/>
          <w:color w:val="FF0000"/>
          <w:highlight w:val="none"/>
        </w:rPr>
        <w:t>按下列要求执行</w:t>
      </w:r>
      <w:r>
        <w:rPr>
          <w:rFonts w:hint="eastAsia" w:ascii="宋体" w:hAnsi="宋体" w:eastAsia="宋体" w:cs="宋体"/>
          <w:b/>
          <w:bCs/>
          <w:color w:val="FF0000"/>
          <w:sz w:val="24"/>
          <w:szCs w:val="24"/>
          <w:highlight w:val="none"/>
          <w:lang w:eastAsia="zh-CN"/>
        </w:rPr>
        <w:t>）</w:t>
      </w:r>
      <w:r>
        <w:rPr>
          <w:rFonts w:ascii="宋体" w:hAnsi="宋体" w:eastAsia="宋体" w:cs="宋体"/>
          <w:b/>
          <w:bCs/>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4.1投标设备技术参数和总体要求按《技术标书》执行；</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4.2设备制造完毕经出厂检验合格后方能发货；</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4.3设备包装按国家或部颁标准执行；</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4.4设备交货要求直接发货至合同指定地点，否则买方有权拒绝接受货物；</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4.5投标企业按技术规范书提报设备详细技术资料；</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rPr>
          <w:rFonts w:eastAsia="宋体" w:cs="宋体"/>
          <w:color w:val="000000"/>
          <w:sz w:val="24"/>
          <w:szCs w:val="24"/>
          <w:highlight w:val="none"/>
        </w:rPr>
      </w:pPr>
      <w:r>
        <w:rPr>
          <w:rFonts w:eastAsia="宋体" w:cs="宋体"/>
          <w:color w:val="000000"/>
          <w:sz w:val="24"/>
          <w:szCs w:val="24"/>
          <w:highlight w:val="none"/>
        </w:rPr>
        <w:t>4.7设备设施颜色严格执行我公司企业标准《设备设施颜色标识》（Q/ZZ30070</w:t>
      </w:r>
    </w:p>
    <w:p>
      <w:pPr>
        <w:pStyle w:val="2"/>
        <w:spacing w:line="360" w:lineRule="auto"/>
        <w:rPr>
          <w:rFonts w:eastAsia="宋体" w:cs="宋体"/>
          <w:color w:val="000000"/>
          <w:sz w:val="24"/>
          <w:szCs w:val="24"/>
          <w:highlight w:val="none"/>
        </w:rPr>
      </w:pPr>
      <w:r>
        <w:rPr>
          <w:rFonts w:eastAsia="宋体" w:cs="宋体"/>
          <w:color w:val="000000"/>
          <w:sz w:val="24"/>
          <w:szCs w:val="24"/>
          <w:highlight w:val="none"/>
        </w:rPr>
        <w:t>—2020）。</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5.其他要求</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包装、运输、检验、交付、安装、调试、培训、结算、质保及售后服务等，按《技术标书》要求，在标书中列示说明，最终以合同约定为准。</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6.询标</w:t>
      </w:r>
    </w:p>
    <w:p>
      <w:pPr>
        <w:keepNext/>
        <w:keepLines/>
        <w:spacing w:line="360" w:lineRule="auto"/>
        <w:ind w:firstLine="480"/>
        <w:rPr>
          <w:rFonts w:ascii="宋体" w:hAnsi="宋体" w:eastAsia="宋体" w:cs="宋体"/>
          <w:b/>
          <w:bCs/>
          <w:color w:val="000000"/>
          <w:sz w:val="24"/>
          <w:szCs w:val="24"/>
          <w:highlight w:val="none"/>
        </w:rPr>
      </w:pPr>
      <w:r>
        <w:rPr>
          <w:rFonts w:ascii="宋体" w:hAnsi="宋体" w:eastAsia="宋体" w:cs="宋体"/>
          <w:color w:val="000000"/>
          <w:sz w:val="24"/>
          <w:szCs w:val="24"/>
          <w:highlight w:val="none"/>
        </w:rPr>
        <w:t>凡对本次招标提出的询问，均以招标人的书面答复为准。</w:t>
      </w:r>
    </w:p>
    <w:p>
      <w:pPr>
        <w:keepNext/>
        <w:keepLines/>
        <w:numPr>
          <w:ilvl w:val="0"/>
          <w:numId w:val="0"/>
        </w:numPr>
        <w:spacing w:line="360" w:lineRule="auto"/>
        <w:outlineLvl w:val="1"/>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五、议程安排</w:t>
      </w:r>
    </w:p>
    <w:p>
      <w:pPr>
        <w:keepNext/>
        <w:keepLines/>
        <w:numPr>
          <w:ilvl w:val="0"/>
          <w:numId w:val="0"/>
        </w:numPr>
        <w:spacing w:line="360" w:lineRule="auto"/>
        <w:ind w:firstLine="482"/>
        <w:outlineLvl w:val="2"/>
        <w:rPr>
          <w:rFonts w:ascii="宋体" w:hAnsi="宋体" w:eastAsia="宋体" w:cs="宋体"/>
          <w:color w:val="000000"/>
          <w:sz w:val="24"/>
          <w:szCs w:val="24"/>
          <w:highlight w:val="none"/>
        </w:rPr>
      </w:pPr>
      <w:r>
        <w:rPr>
          <w:rFonts w:ascii="宋体" w:hAnsi="宋体" w:eastAsia="宋体" w:cs="宋体"/>
          <w:b/>
          <w:bCs/>
          <w:color w:val="000000"/>
          <w:sz w:val="24"/>
          <w:szCs w:val="24"/>
          <w:highlight w:val="none"/>
        </w:rPr>
        <w:t>1.发标时间</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见《投标须知前附表》2.1。</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2.发标方式</w:t>
      </w:r>
    </w:p>
    <w:p>
      <w:pPr>
        <w:keepNext/>
        <w:keepLines/>
        <w:numPr>
          <w:ilvl w:val="0"/>
          <w:numId w:val="0"/>
        </w:numPr>
        <w:spacing w:line="360" w:lineRule="auto"/>
        <w:ind w:firstLine="480"/>
        <w:outlineLvl w:val="2"/>
        <w:rPr>
          <w:rFonts w:ascii="宋体" w:hAnsi="宋体" w:eastAsia="宋体" w:cs="Times New Roman"/>
          <w:color w:val="000000"/>
          <w:sz w:val="24"/>
          <w:szCs w:val="24"/>
          <w:highlight w:val="none"/>
        </w:rPr>
      </w:pPr>
      <w:r>
        <w:rPr>
          <w:rFonts w:ascii="宋体" w:hAnsi="宋体" w:eastAsia="宋体" w:cs="宋体"/>
          <w:sz w:val="24"/>
          <w:szCs w:val="24"/>
          <w:highlight w:val="none"/>
        </w:rPr>
        <w:t>中国重汽官网、山东省阳光采购服务平台、中国招标投标公共服务平台等公开媒体</w:t>
      </w:r>
      <w:r>
        <w:rPr>
          <w:rFonts w:ascii="宋体" w:hAnsi="宋体" w:eastAsia="宋体" w:cs="宋体"/>
          <w:color w:val="000000"/>
          <w:sz w:val="24"/>
          <w:szCs w:val="24"/>
          <w:highlight w:val="none"/>
        </w:rPr>
        <w:t>公布</w:t>
      </w:r>
      <w:r>
        <w:rPr>
          <w:rFonts w:ascii="宋体" w:hAnsi="宋体" w:eastAsia="宋体" w:cs="Times New Roman"/>
          <w:color w:val="000000"/>
          <w:sz w:val="24"/>
          <w:szCs w:val="24"/>
          <w:highlight w:val="none"/>
        </w:rPr>
        <w:t>。</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3.答疑</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见《投标须知前附表》第二条，逾期不受理。</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4.投标报名</w:t>
      </w:r>
    </w:p>
    <w:p>
      <w:pPr>
        <w:keepNext/>
        <w:keepLines/>
        <w:spacing w:line="360" w:lineRule="auto"/>
        <w:ind w:firstLine="482"/>
        <w:rPr>
          <w:rFonts w:ascii="宋体" w:hAnsi="宋体" w:eastAsia="宋体" w:cs="宋体"/>
          <w:sz w:val="24"/>
          <w:szCs w:val="24"/>
          <w:highlight w:val="none"/>
        </w:rPr>
      </w:pPr>
      <w:r>
        <w:rPr>
          <w:rFonts w:ascii="宋体" w:hAnsi="宋体" w:eastAsia="宋体" w:cs="宋体"/>
          <w:sz w:val="24"/>
          <w:szCs w:val="24"/>
          <w:highlight w:val="none"/>
        </w:rPr>
        <w:t>4.1投标人在报名参与本项目的同时，应提供项目投标保证金。投标保证金应在规定的时间前将投标保证金从投标人单位基本账户转出并到账，否则按否决投标处理；未按规定提交保证金的投标人，其投标档按否决投标处理。（保证金具体金额及缴纳截止时间见《投标须知前附表》4.2和4.3）。</w:t>
      </w:r>
    </w:p>
    <w:p>
      <w:pPr>
        <w:pStyle w:val="91"/>
        <w:ind w:firstLine="480"/>
        <w:rPr>
          <w:rFonts w:eastAsia="宋体" w:cs="宋体"/>
          <w:highlight w:val="none"/>
        </w:rPr>
      </w:pPr>
      <w:r>
        <w:rPr>
          <w:rFonts w:eastAsia="宋体" w:cs="宋体"/>
          <w:highlight w:val="none"/>
        </w:rPr>
        <w:t>4.2招标人银行账户信息如下：见《投标须知前附表》4.2。</w:t>
      </w:r>
    </w:p>
    <w:p>
      <w:pPr>
        <w:pStyle w:val="91"/>
        <w:ind w:firstLine="480"/>
        <w:rPr>
          <w:rFonts w:eastAsia="宋体" w:cs="宋体"/>
          <w:highlight w:val="none"/>
        </w:rPr>
      </w:pPr>
      <w:r>
        <w:rPr>
          <w:rFonts w:eastAsia="宋体" w:cs="宋体"/>
          <w:highlight w:val="none"/>
        </w:rPr>
        <w:t>转账附言：公司名称+项目名称+投标保证金；</w:t>
      </w:r>
    </w:p>
    <w:p>
      <w:pPr>
        <w:pStyle w:val="91"/>
        <w:ind w:firstLine="480"/>
        <w:rPr>
          <w:rFonts w:eastAsia="宋体" w:cs="宋体"/>
          <w:highlight w:val="none"/>
        </w:rPr>
      </w:pPr>
      <w:r>
        <w:rPr>
          <w:rFonts w:eastAsia="宋体" w:cs="宋体"/>
          <w:highlight w:val="none"/>
        </w:rPr>
        <w:t>对于没有中标的投标人，投标保证金将于招标人内部完成中标人评审并确认最终中标人后在30</w:t>
      </w:r>
      <w:r>
        <w:rPr>
          <w:rFonts w:eastAsia="宋体" w:cs="宋体"/>
          <w:highlight w:val="none"/>
          <w:lang w:val="en-US" w:eastAsia="zh-CN"/>
        </w:rPr>
        <w:t>个</w:t>
      </w:r>
      <w:r>
        <w:rPr>
          <w:rFonts w:eastAsia="宋体" w:cs="宋体"/>
          <w:highlight w:val="none"/>
        </w:rPr>
        <w:t>工作日内予以原路返还（无息）；对于中标方，投标保证金将在签订合同后30个工作日内原路返还（无息）；</w:t>
      </w:r>
    </w:p>
    <w:p>
      <w:pPr>
        <w:pStyle w:val="91"/>
        <w:ind w:firstLine="480"/>
        <w:rPr>
          <w:rFonts w:eastAsia="宋体" w:cs="宋体"/>
          <w:highlight w:val="none"/>
        </w:rPr>
      </w:pPr>
      <w:r>
        <w:rPr>
          <w:rFonts w:eastAsia="宋体" w:cs="宋体"/>
          <w:highlight w:val="none"/>
        </w:rPr>
        <w:t>4.3说明</w:t>
      </w:r>
    </w:p>
    <w:p>
      <w:pPr>
        <w:pStyle w:val="91"/>
        <w:ind w:firstLine="480"/>
        <w:rPr>
          <w:rFonts w:eastAsia="宋体" w:cs="宋体"/>
          <w:highlight w:val="none"/>
        </w:rPr>
      </w:pPr>
      <w:r>
        <w:rPr>
          <w:rFonts w:eastAsia="宋体" w:cs="宋体"/>
          <w:highlight w:val="none"/>
        </w:rPr>
        <w:t>4.3.1 投标人在向招标人出示《投标保证金缴纳凭证》后方可进行投标；</w:t>
      </w:r>
    </w:p>
    <w:p>
      <w:pPr>
        <w:pStyle w:val="91"/>
        <w:ind w:firstLine="480"/>
        <w:rPr>
          <w:rFonts w:eastAsia="宋体" w:cs="宋体"/>
          <w:highlight w:val="none"/>
        </w:rPr>
      </w:pPr>
      <w:r>
        <w:rPr>
          <w:rFonts w:eastAsia="宋体" w:cs="宋体"/>
          <w:highlight w:val="none"/>
        </w:rPr>
        <w:t>4.3.2 发生以下情况时，招标人有权没收保证金：</w:t>
      </w:r>
    </w:p>
    <w:p>
      <w:pPr>
        <w:pStyle w:val="91"/>
        <w:ind w:firstLine="480"/>
        <w:rPr>
          <w:rFonts w:eastAsia="宋体" w:cs="宋体"/>
          <w:highlight w:val="none"/>
        </w:rPr>
      </w:pPr>
      <w:r>
        <w:rPr>
          <w:rFonts w:eastAsia="宋体" w:cs="宋体"/>
          <w:highlight w:val="none"/>
        </w:rPr>
        <w:t>4.3.2.1 截至开标前3天，投标人无正当理由且未以书面形式递交说明而在投标截止日不来投标的；</w:t>
      </w:r>
    </w:p>
    <w:p>
      <w:pPr>
        <w:pStyle w:val="91"/>
        <w:ind w:firstLine="480"/>
        <w:rPr>
          <w:rFonts w:eastAsia="宋体" w:cs="宋体"/>
          <w:highlight w:val="none"/>
        </w:rPr>
      </w:pPr>
      <w:r>
        <w:rPr>
          <w:rFonts w:eastAsia="宋体" w:cs="宋体"/>
          <w:highlight w:val="none"/>
        </w:rPr>
        <w:t>4.3.2.2 投标人递送投标档后，无正当理由放弃投标的；</w:t>
      </w:r>
    </w:p>
    <w:p>
      <w:pPr>
        <w:pStyle w:val="91"/>
        <w:ind w:firstLine="480"/>
        <w:rPr>
          <w:rFonts w:eastAsia="宋体" w:cs="宋体"/>
          <w:highlight w:val="none"/>
        </w:rPr>
      </w:pPr>
      <w:r>
        <w:rPr>
          <w:rFonts w:eastAsia="宋体" w:cs="宋体"/>
          <w:highlight w:val="none"/>
        </w:rPr>
        <w:t>4.3.2.3若为视频开标，招标过程中澄清函等资料原件未按要求提交的；</w:t>
      </w:r>
    </w:p>
    <w:p>
      <w:pPr>
        <w:pStyle w:val="91"/>
        <w:ind w:firstLine="480"/>
        <w:rPr>
          <w:rFonts w:eastAsia="宋体" w:cs="宋体"/>
          <w:highlight w:val="none"/>
        </w:rPr>
      </w:pPr>
      <w:r>
        <w:rPr>
          <w:rFonts w:eastAsia="宋体" w:cs="宋体"/>
          <w:highlight w:val="none"/>
        </w:rPr>
        <w:t>4.3.2.4自中标通知书发出之日起30日内，中标人无正当理由不签订合同的；</w:t>
      </w:r>
    </w:p>
    <w:p>
      <w:pPr>
        <w:pStyle w:val="91"/>
        <w:ind w:firstLine="480"/>
        <w:rPr>
          <w:rFonts w:eastAsia="宋体" w:cs="宋体"/>
          <w:highlight w:val="none"/>
        </w:rPr>
      </w:pPr>
      <w:r>
        <w:rPr>
          <w:rFonts w:eastAsia="宋体" w:cs="宋体"/>
          <w:highlight w:val="none"/>
        </w:rPr>
        <w:t>4.3.2.5投标人在投标过程中被查实有串标、围标、陪标等违规违纪行为的；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4.3.2.6投标人有违约违规行为或被投诉、举报的，在调查处理期间，保证金暂不退还，待调查处理结束后按有关规定处理。</w:t>
      </w:r>
    </w:p>
    <w:p>
      <w:pPr>
        <w:pStyle w:val="91"/>
        <w:ind w:firstLine="480"/>
        <w:rPr>
          <w:rFonts w:eastAsia="宋体" w:cs="宋体"/>
          <w:highlight w:val="none"/>
        </w:rPr>
      </w:pPr>
      <w:r>
        <w:rPr>
          <w:rFonts w:eastAsia="宋体" w:cs="宋体"/>
          <w:highlight w:val="none"/>
        </w:rPr>
        <w:t>4.4投标报名截止时间</w:t>
      </w:r>
    </w:p>
    <w:p>
      <w:pPr>
        <w:pStyle w:val="91"/>
        <w:ind w:firstLine="480"/>
        <w:rPr>
          <w:rFonts w:eastAsia="宋体" w:cs="宋体"/>
          <w:highlight w:val="none"/>
        </w:rPr>
      </w:pPr>
      <w:r>
        <w:rPr>
          <w:rFonts w:eastAsia="宋体" w:cs="宋体"/>
          <w:highlight w:val="none"/>
        </w:rPr>
        <w:t>报名方式：见《投标须知前附表》2.3。</w:t>
      </w:r>
    </w:p>
    <w:p>
      <w:pPr>
        <w:pStyle w:val="91"/>
        <w:ind w:firstLine="480"/>
        <w:rPr>
          <w:rFonts w:eastAsia="宋体" w:cs="宋体"/>
          <w:highlight w:val="none"/>
        </w:rPr>
      </w:pPr>
      <w:r>
        <w:rPr>
          <w:rFonts w:eastAsia="宋体" w:cs="宋体"/>
          <w:highlight w:val="none"/>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如果是授权委托人投标，</w:t>
      </w:r>
      <w:r>
        <w:rPr>
          <w:rFonts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如果是法人参加投标</w:t>
      </w:r>
      <w:r>
        <w:rPr>
          <w:rFonts w:ascii="宋体" w:hAnsi="宋体" w:eastAsia="宋体" w:cs="宋体"/>
          <w:color w:val="000000"/>
          <w:sz w:val="24"/>
          <w:szCs w:val="24"/>
          <w:highlight w:val="none"/>
        </w:rPr>
        <w:t>，要提交营业执照副本、法人代表证明档。</w:t>
      </w:r>
    </w:p>
    <w:p>
      <w:pPr>
        <w:numPr>
          <w:ilvl w:val="0"/>
          <w:numId w:val="5"/>
        </w:numPr>
        <w:spacing w:line="360" w:lineRule="auto"/>
        <w:rPr>
          <w:rFonts w:ascii="宋体" w:hAnsi="宋体" w:eastAsia="宋体" w:cs="宋体"/>
          <w:color w:val="000000"/>
          <w:sz w:val="24"/>
          <w:szCs w:val="24"/>
          <w:highlight w:val="none"/>
        </w:rPr>
      </w:pPr>
      <w:r>
        <w:rPr>
          <w:rFonts w:ascii="宋体" w:hAnsi="宋体" w:eastAsia="宋体" w:cs="宋体"/>
          <w:b/>
          <w:color w:val="000000"/>
          <w:sz w:val="24"/>
          <w:szCs w:val="24"/>
          <w:highlight w:val="none"/>
        </w:rPr>
        <w:t>如果是代理商投标</w:t>
      </w:r>
      <w:r>
        <w:rPr>
          <w:rFonts w:ascii="宋体" w:hAnsi="宋体" w:eastAsia="宋体" w:cs="宋体"/>
          <w:color w:val="000000"/>
          <w:sz w:val="24"/>
          <w:szCs w:val="24"/>
          <w:highlight w:val="none"/>
        </w:rPr>
        <w:t>，除上述a)b)中要求的资料，要另外携带生产商的授权书、原厂售后服务承诺书。</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5.开标时间</w:t>
      </w:r>
    </w:p>
    <w:p>
      <w:pPr>
        <w:keepNext/>
        <w:keepLines/>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见《投标须知前附表》5.1，若有变动另行通知。</w:t>
      </w:r>
    </w:p>
    <w:p>
      <w:pPr>
        <w:keepNext/>
        <w:keepLines/>
        <w:numPr>
          <w:ilvl w:val="0"/>
          <w:numId w:val="0"/>
        </w:numPr>
        <w:spacing w:line="360" w:lineRule="auto"/>
        <w:ind w:firstLine="482"/>
        <w:outlineLvl w:val="2"/>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6.开标方式</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val="en-US" w:eastAsia="zh-CN"/>
        </w:rPr>
        <w:t>原则上</w:t>
      </w:r>
      <w:r>
        <w:rPr>
          <w:rFonts w:ascii="宋体" w:hAnsi="宋体" w:eastAsia="宋体" w:cs="宋体"/>
          <w:color w:val="000000"/>
          <w:sz w:val="24"/>
          <w:szCs w:val="24"/>
          <w:highlight w:val="none"/>
          <w:lang w:val="en-US"/>
        </w:rPr>
        <w:t>来现场参与</w:t>
      </w:r>
      <w:r>
        <w:rPr>
          <w:rFonts w:ascii="宋体" w:hAnsi="宋体" w:eastAsia="宋体" w:cs="宋体"/>
          <w:color w:val="000000"/>
          <w:sz w:val="24"/>
          <w:szCs w:val="24"/>
          <w:highlight w:val="none"/>
          <w:lang w:val="en-US" w:eastAsia="zh-CN"/>
        </w:rPr>
        <w:t>开</w:t>
      </w:r>
      <w:r>
        <w:rPr>
          <w:rFonts w:ascii="宋体" w:hAnsi="宋体" w:eastAsia="宋体" w:cs="宋体"/>
          <w:color w:val="000000"/>
          <w:sz w:val="24"/>
          <w:szCs w:val="24"/>
          <w:highlight w:val="none"/>
          <w:lang w:val="en-US"/>
        </w:rPr>
        <w:t>标。</w:t>
      </w:r>
      <w:r>
        <w:rPr>
          <w:rFonts w:ascii="宋体" w:hAnsi="宋体" w:eastAsia="宋体" w:cs="宋体"/>
          <w:color w:val="000000"/>
          <w:sz w:val="24"/>
          <w:szCs w:val="24"/>
          <w:highlight w:val="none"/>
          <w:lang w:val="en-US" w:eastAsia="zh-CN"/>
        </w:rPr>
        <w:t>如因特殊情况无法现场参与，需在开标前三日，通知招标人，由招标人创建</w:t>
      </w:r>
      <w:r>
        <w:rPr>
          <w:rFonts w:ascii="宋体" w:hAnsi="宋体" w:eastAsia="宋体" w:cs="宋体"/>
          <w:color w:val="000000"/>
          <w:sz w:val="24"/>
          <w:szCs w:val="24"/>
          <w:highlight w:val="none"/>
        </w:rPr>
        <w:t>视频链接</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并</w:t>
      </w:r>
      <w:r>
        <w:rPr>
          <w:rFonts w:ascii="宋体" w:hAnsi="宋体" w:eastAsia="宋体" w:cs="宋体"/>
          <w:color w:val="000000"/>
          <w:sz w:val="24"/>
          <w:szCs w:val="24"/>
          <w:highlight w:val="none"/>
        </w:rPr>
        <w:t>在报名</w:t>
      </w:r>
      <w:r>
        <w:rPr>
          <w:rFonts w:ascii="宋体" w:hAnsi="宋体" w:eastAsia="宋体" w:cs="宋体"/>
          <w:color w:val="000000"/>
          <w:sz w:val="24"/>
          <w:szCs w:val="24"/>
          <w:highlight w:val="none"/>
          <w:lang w:val="en-US" w:eastAsia="zh-CN"/>
        </w:rPr>
        <w:t>结束</w:t>
      </w:r>
      <w:r>
        <w:rPr>
          <w:rFonts w:ascii="宋体" w:hAnsi="宋体" w:eastAsia="宋体" w:cs="宋体"/>
          <w:color w:val="000000"/>
          <w:sz w:val="24"/>
          <w:szCs w:val="24"/>
          <w:highlight w:val="none"/>
        </w:rPr>
        <w:t>后统一</w:t>
      </w:r>
      <w:r>
        <w:rPr>
          <w:rFonts w:ascii="宋体" w:hAnsi="宋体" w:eastAsia="宋体" w:cs="宋体"/>
          <w:color w:val="000000"/>
          <w:sz w:val="24"/>
          <w:szCs w:val="24"/>
          <w:highlight w:val="none"/>
          <w:lang w:val="en-US" w:eastAsia="zh-CN"/>
        </w:rPr>
        <w:t>通知</w:t>
      </w:r>
      <w:r>
        <w:rPr>
          <w:rFonts w:ascii="宋体" w:hAnsi="宋体" w:eastAsia="宋体" w:cs="宋体"/>
          <w:color w:val="000000"/>
          <w:sz w:val="24"/>
          <w:szCs w:val="24"/>
          <w:highlight w:val="none"/>
        </w:rPr>
        <w:t>。</w:t>
      </w:r>
    </w:p>
    <w:p>
      <w:pPr>
        <w:numPr>
          <w:ilvl w:val="0"/>
          <w:numId w:val="0"/>
        </w:numPr>
        <w:spacing w:line="360" w:lineRule="auto"/>
        <w:jc w:val="left"/>
        <w:outlineLvl w:val="1"/>
        <w:rPr>
          <w:rFonts w:ascii="宋体" w:hAnsi="宋体" w:eastAsia="宋体" w:cs="宋体"/>
          <w:b/>
          <w:sz w:val="24"/>
          <w:szCs w:val="24"/>
          <w:highlight w:val="none"/>
        </w:rPr>
      </w:pPr>
      <w:bookmarkStart w:id="7" w:name="_Toc33267001"/>
      <w:bookmarkStart w:id="8" w:name="_Toc33265653"/>
      <w:bookmarkStart w:id="9" w:name="_Toc33265752"/>
      <w:bookmarkStart w:id="10" w:name="_Toc33285487"/>
      <w:bookmarkStart w:id="11" w:name="_Toc33266627"/>
      <w:bookmarkStart w:id="12" w:name="_Toc33266950"/>
      <w:bookmarkStart w:id="13" w:name="_Toc33266914"/>
      <w:r>
        <w:rPr>
          <w:rFonts w:ascii="宋体" w:hAnsi="宋体" w:eastAsia="宋体" w:cs="宋体"/>
          <w:b/>
          <w:sz w:val="24"/>
          <w:szCs w:val="24"/>
          <w:highlight w:val="none"/>
        </w:rPr>
        <w:t>六、评价原则</w:t>
      </w:r>
      <w:bookmarkEnd w:id="7"/>
      <w:bookmarkEnd w:id="8"/>
      <w:bookmarkEnd w:id="9"/>
      <w:bookmarkEnd w:id="10"/>
      <w:bookmarkEnd w:id="11"/>
      <w:bookmarkEnd w:id="12"/>
      <w:bookmarkEnd w:id="13"/>
      <w:bookmarkStart w:id="14" w:name="_Toc395116633"/>
      <w:bookmarkEnd w:id="14"/>
    </w:p>
    <w:p>
      <w:pPr>
        <w:snapToGrid w:val="0"/>
        <w:spacing w:line="360" w:lineRule="auto"/>
        <w:ind w:firstLine="480"/>
        <w:rPr>
          <w:rFonts w:ascii="Calibri" w:hAnsi="Calibri" w:eastAsia="宋体" w:cs="Times New Roman"/>
          <w:b/>
          <w:color w:val="000000"/>
          <w:sz w:val="24"/>
          <w:szCs w:val="24"/>
          <w:highlight w:val="none"/>
        </w:rPr>
      </w:pPr>
      <w:r>
        <w:rPr>
          <w:rFonts w:ascii="宋体" w:hAnsi="宋体" w:eastAsia="宋体" w:cs="宋体"/>
          <w:sz w:val="24"/>
          <w:szCs w:val="24"/>
          <w:highlight w:val="none"/>
        </w:rPr>
        <w:t>本次招标采用</w:t>
      </w:r>
      <w:r>
        <w:rPr>
          <w:rFonts w:ascii="宋体" w:hAnsi="宋体" w:eastAsia="宋体" w:cs="宋体"/>
          <w:b/>
          <w:bCs/>
          <w:sz w:val="24"/>
          <w:szCs w:val="24"/>
          <w:highlight w:val="none"/>
        </w:rPr>
        <w:t>技术标入围后，合理最低价中标</w:t>
      </w:r>
      <w:bookmarkStart w:id="15" w:name="_Toc33267002"/>
      <w:bookmarkStart w:id="16" w:name="_Toc33266951"/>
      <w:bookmarkStart w:id="17" w:name="_Toc33266915"/>
      <w:bookmarkStart w:id="18" w:name="_Toc395116634"/>
      <w:bookmarkStart w:id="19" w:name="_Toc33265654"/>
      <w:bookmarkStart w:id="20" w:name="_Toc33266628"/>
      <w:bookmarkStart w:id="21" w:name="_Toc33265753"/>
      <w:bookmarkStart w:id="22" w:name="_Toc33285489"/>
      <w:r>
        <w:rPr>
          <w:rFonts w:ascii="宋体" w:hAnsi="宋体" w:eastAsia="宋体" w:cs="宋体"/>
          <w:sz w:val="24"/>
          <w:szCs w:val="24"/>
          <w:highlight w:val="none"/>
        </w:rPr>
        <w:t>。</w:t>
      </w:r>
      <w:r>
        <w:rPr>
          <w:rFonts w:ascii="宋体" w:hAnsi="宋体" w:eastAsia="宋体" w:cs="宋体"/>
          <w:color w:val="000000"/>
          <w:sz w:val="24"/>
          <w:szCs w:val="24"/>
          <w:highlight w:val="none"/>
        </w:rPr>
        <w:t>本着公平、公正、公开的原则，在通过技术标综合评审后入围的前提下，选择合理最低价确定中标人</w:t>
      </w:r>
      <w:r>
        <w:rPr>
          <w:rFonts w:ascii="宋体" w:hAnsi="宋体" w:eastAsia="宋体" w:cs="宋体"/>
          <w:b/>
          <w:color w:val="000000"/>
          <w:sz w:val="24"/>
          <w:szCs w:val="24"/>
          <w:highlight w:val="none"/>
        </w:rPr>
        <w:t>，对未中标单位不做任何解释。</w:t>
      </w:r>
      <w:bookmarkEnd w:id="15"/>
      <w:bookmarkEnd w:id="16"/>
      <w:bookmarkEnd w:id="17"/>
      <w:bookmarkEnd w:id="18"/>
      <w:bookmarkEnd w:id="19"/>
      <w:bookmarkEnd w:id="20"/>
      <w:bookmarkEnd w:id="21"/>
      <w:bookmarkEnd w:id="22"/>
      <w:bookmarkStart w:id="23" w:name="OLE_LINK12"/>
      <w:bookmarkEnd w:id="23"/>
    </w:p>
    <w:p>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评标流程：</w:t>
      </w:r>
    </w:p>
    <w:p>
      <w:pPr>
        <w:pStyle w:val="2"/>
        <w:spacing w:line="360" w:lineRule="auto"/>
        <w:ind w:firstLine="482"/>
        <w:rPr>
          <w:rFonts w:eastAsia="宋体"/>
          <w:highlight w:val="none"/>
        </w:rPr>
      </w:pPr>
      <w:r>
        <w:rPr>
          <w:rFonts w:eastAsia="宋体" w:cs="Times New Roman"/>
          <w:b/>
          <w:color w:val="000000"/>
          <w:sz w:val="24"/>
          <w:szCs w:val="24"/>
          <w:highlight w:val="none"/>
        </w:rPr>
        <w:t>投标档包含《投标档（资质标）》、《投标档（技术标）》、《投标档（商务标）》（开标一览表），共计三个档。</w:t>
      </w:r>
    </w:p>
    <w:p>
      <w:pPr>
        <w:numPr>
          <w:ilvl w:val="0"/>
          <w:numId w:val="6"/>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应标资格审查：在“中国重汽e采通”应标报名时，</w:t>
      </w:r>
      <w:r>
        <w:rPr>
          <w:rFonts w:ascii="宋体" w:hAnsi="宋体" w:eastAsia="宋体" w:cs="Times New Roman"/>
          <w:b/>
          <w:bCs/>
          <w:color w:val="000000"/>
          <w:sz w:val="24"/>
          <w:szCs w:val="24"/>
          <w:highlight w:val="none"/>
        </w:rPr>
        <w:t>按照第三部分投标档组成资格证明档中的1.1-1.1</w:t>
      </w:r>
      <w:r>
        <w:rPr>
          <w:rFonts w:ascii="宋体" w:hAnsi="宋体" w:eastAsia="宋体" w:cs="Times New Roman"/>
          <w:b/>
          <w:bCs/>
          <w:color w:val="000000"/>
          <w:sz w:val="24"/>
          <w:szCs w:val="24"/>
          <w:highlight w:val="none"/>
          <w:lang w:val="en-US" w:eastAsia="zh-CN"/>
        </w:rPr>
        <w:t>3</w:t>
      </w:r>
      <w:r>
        <w:rPr>
          <w:rFonts w:ascii="宋体" w:hAnsi="宋体" w:eastAsia="宋体" w:cs="Times New Roman"/>
          <w:b/>
          <w:bCs/>
          <w:color w:val="000000"/>
          <w:sz w:val="24"/>
          <w:szCs w:val="24"/>
          <w:highlight w:val="none"/>
        </w:rPr>
        <w:t>准备资料，上传完毕后，等待审核</w:t>
      </w:r>
      <w:r>
        <w:rPr>
          <w:rFonts w:ascii="宋体" w:hAnsi="宋体" w:eastAsia="宋体" w:cs="Times New Roman"/>
          <w:b/>
          <w:color w:val="000000"/>
          <w:sz w:val="24"/>
          <w:szCs w:val="24"/>
          <w:highlight w:val="none"/>
        </w:rPr>
        <w:t>；</w:t>
      </w:r>
    </w:p>
    <w:p>
      <w:pPr>
        <w:numPr>
          <w:ilvl w:val="0"/>
          <w:numId w:val="7"/>
        </w:numPr>
        <w:spacing w:line="360" w:lineRule="auto"/>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highlight w:val="none"/>
        </w:rPr>
      </w:pPr>
      <w:r>
        <w:rPr>
          <w:rFonts w:ascii="宋体" w:hAnsi="宋体" w:eastAsia="宋体" w:cs="宋体"/>
          <w:b/>
          <w:color w:val="000000"/>
          <w:sz w:val="24"/>
          <w:szCs w:val="24"/>
          <w:highlight w:val="none"/>
        </w:rPr>
        <w:t>资质标评审：资质标审核通过的单位，可以进入公开唱标环节；</w:t>
      </w:r>
    </w:p>
    <w:p>
      <w:pPr>
        <w:numPr>
          <w:ilvl w:val="0"/>
          <w:numId w:val="6"/>
        </w:numPr>
        <w:spacing w:line="360" w:lineRule="auto"/>
        <w:rPr>
          <w:rFonts w:ascii="宋体" w:hAnsi="宋体" w:eastAsia="宋体" w:cs="Times New Roman"/>
          <w:b/>
          <w:sz w:val="24"/>
          <w:szCs w:val="24"/>
          <w:highlight w:val="none"/>
        </w:rPr>
      </w:pPr>
      <w:r>
        <w:rPr>
          <w:rFonts w:ascii="宋体" w:hAnsi="宋体" w:eastAsia="宋体" w:cs="宋体"/>
          <w:b/>
          <w:color w:val="000000"/>
          <w:sz w:val="24"/>
          <w:szCs w:val="24"/>
          <w:highlight w:val="none"/>
        </w:rPr>
        <w:t>公开唱标：公示资质标入围单位的开标价格及商务条款回应情况；</w:t>
      </w:r>
    </w:p>
    <w:p>
      <w:pPr>
        <w:numPr>
          <w:ilvl w:val="0"/>
          <w:numId w:val="8"/>
        </w:numPr>
        <w:spacing w:line="360" w:lineRule="auto"/>
        <w:rPr>
          <w:rFonts w:ascii="宋体" w:hAnsi="宋体" w:eastAsia="宋体" w:cs="Times New Roman"/>
          <w:b/>
          <w:sz w:val="24"/>
          <w:szCs w:val="24"/>
          <w:highlight w:val="none"/>
        </w:rPr>
      </w:pPr>
      <w:r>
        <w:rPr>
          <w:rFonts w:ascii="宋体" w:hAnsi="宋体" w:eastAsia="宋体" w:cs="Times New Roman"/>
          <w:b/>
          <w:color w:val="000000"/>
          <w:sz w:val="24"/>
          <w:szCs w:val="24"/>
          <w:highlight w:val="none"/>
        </w:rPr>
        <w:t>技术标评审</w:t>
      </w:r>
      <w:r>
        <w:rPr>
          <w:rFonts w:ascii="宋体" w:hAnsi="宋体" w:eastAsia="宋体" w:cs="Times New Roman"/>
          <w:b/>
          <w:sz w:val="24"/>
          <w:szCs w:val="24"/>
          <w:highlight w:val="none"/>
        </w:rPr>
        <w:t>：技术标评标专家组，通过重汽e采通，对各投标人的</w:t>
      </w:r>
      <w:r>
        <w:rPr>
          <w:rFonts w:eastAsia="宋体" w:cs="Times New Roman"/>
          <w:b/>
          <w:sz w:val="24"/>
          <w:szCs w:val="24"/>
          <w:highlight w:val="none"/>
        </w:rPr>
        <w:t>《投标档（技术标）》进行综合评审；评审期间产生的</w:t>
      </w:r>
      <w:r>
        <w:rPr>
          <w:rFonts w:ascii="宋体" w:hAnsi="宋体" w:eastAsia="宋体" w:cs="Times New Roman"/>
          <w:b/>
          <w:sz w:val="24"/>
          <w:szCs w:val="24"/>
          <w:highlight w:val="none"/>
        </w:rPr>
        <w:t>技术澄清均由投标人在重汽e采通平台内完成提交；评审合格的单位进入商务标评审环节，评审不合格的单位被淘汰；</w:t>
      </w:r>
    </w:p>
    <w:p>
      <w:pPr>
        <w:numPr>
          <w:ilvl w:val="0"/>
          <w:numId w:val="0"/>
        </w:numPr>
        <w:spacing w:line="360" w:lineRule="auto"/>
        <w:ind w:left="0" w:firstLine="482"/>
        <w:rPr>
          <w:rFonts w:ascii="宋体" w:hAnsi="宋体" w:eastAsia="宋体" w:cs="Times New Roman"/>
          <w:b/>
          <w:sz w:val="24"/>
          <w:szCs w:val="24"/>
          <w:highlight w:val="none"/>
        </w:rPr>
      </w:pPr>
      <w:r>
        <w:rPr>
          <w:rFonts w:ascii="宋体" w:hAnsi="宋体" w:eastAsia="宋体" w:cs="Times New Roman"/>
          <w:b/>
          <w:sz w:val="24"/>
          <w:szCs w:val="24"/>
          <w:highlight w:val="none"/>
        </w:rPr>
        <w:t>具体</w:t>
      </w:r>
      <w:r>
        <w:rPr>
          <w:rFonts w:ascii="Times New Roman" w:hAnsi="Times New Roman" w:eastAsia="宋体" w:cs="Times New Roman"/>
          <w:b/>
          <w:bCs/>
          <w:color w:val="000000"/>
          <w:sz w:val="24"/>
          <w:szCs w:val="24"/>
          <w:highlight w:val="none"/>
        </w:rPr>
        <w:t>技术标评分标准见附件14。</w:t>
      </w:r>
    </w:p>
    <w:p>
      <w:pPr>
        <w:numPr>
          <w:ilvl w:val="0"/>
          <w:numId w:val="9"/>
        </w:numPr>
        <w:spacing w:line="360" w:lineRule="auto"/>
        <w:ind w:left="0" w:firstLine="0"/>
        <w:rPr>
          <w:rFonts w:ascii="宋体" w:hAnsi="宋体" w:cs="Times New Roman"/>
          <w:b/>
          <w:sz w:val="24"/>
          <w:szCs w:val="24"/>
          <w:highlight w:val="none"/>
        </w:rPr>
      </w:pPr>
      <w:r>
        <w:rPr>
          <w:rFonts w:ascii="宋体" w:hAnsi="宋体" w:eastAsia="宋体" w:cs="Times New Roman"/>
          <w:b/>
          <w:sz w:val="24"/>
          <w:szCs w:val="24"/>
          <w:highlight w:val="none"/>
        </w:rPr>
        <w:t>商务标评审：商务条款相应确认</w:t>
      </w:r>
      <w:r>
        <w:rPr>
          <w:rFonts w:ascii="宋体" w:hAnsi="宋体" w:eastAsia="宋体" w:cs="Segoe UI Emoji"/>
          <w:b/>
          <w:sz w:val="24"/>
          <w:szCs w:val="24"/>
          <w:highlight w:val="none"/>
        </w:rPr>
        <w:t>→价格澄清→</w:t>
      </w:r>
      <w:r>
        <w:rPr>
          <w:rFonts w:ascii="宋体" w:hAnsi="宋体" w:eastAsia="宋体" w:cs="Times New Roman"/>
          <w:b/>
          <w:sz w:val="24"/>
          <w:szCs w:val="24"/>
          <w:highlight w:val="none"/>
        </w:rPr>
        <w:t>商务标评审；</w:t>
      </w:r>
      <w:r>
        <w:rPr>
          <w:rFonts w:eastAsia="宋体" w:cs="Times New Roman"/>
          <w:b/>
          <w:sz w:val="24"/>
          <w:szCs w:val="24"/>
          <w:highlight w:val="none"/>
        </w:rPr>
        <w:t>评审期间产生的</w:t>
      </w:r>
      <w:r>
        <w:rPr>
          <w:rFonts w:ascii="宋体" w:hAnsi="宋体" w:eastAsia="宋体" w:cs="Times New Roman"/>
          <w:b/>
          <w:sz w:val="24"/>
          <w:szCs w:val="24"/>
          <w:highlight w:val="none"/>
        </w:rPr>
        <w:t>商务价格澄清均由投标人在重汽e采通平台内限时完成提交；</w:t>
      </w:r>
    </w:p>
    <w:p>
      <w:pPr>
        <w:pStyle w:val="4"/>
        <w:ind w:firstLine="482"/>
        <w:rPr>
          <w:rFonts w:ascii="Calibri" w:hAnsi="Calibri" w:eastAsia="宋体" w:cs="Times New Roman"/>
          <w:b/>
          <w:bCs/>
          <w:kern w:val="2"/>
          <w:sz w:val="36"/>
          <w:szCs w:val="44"/>
          <w:highlight w:val="none"/>
        </w:rPr>
      </w:pPr>
      <w:r>
        <w:rPr>
          <w:rFonts w:ascii="宋体" w:hAnsi="宋体" w:eastAsia="宋体"/>
          <w:szCs w:val="24"/>
          <w:highlight w:val="none"/>
        </w:rPr>
        <w:t xml:space="preserve"> 注意：投标人均需自带笔记本计算机在重汽e采通平台自主进行投标和提交澄清函；投标和提交澄清函均有时间限制，超时未提交的按无效处理。  </w:t>
      </w:r>
    </w:p>
    <w:p>
      <w:pPr>
        <w:numPr>
          <w:ilvl w:val="0"/>
          <w:numId w:val="9"/>
        </w:numPr>
        <w:spacing w:line="360" w:lineRule="auto"/>
        <w:rPr>
          <w:rFonts w:ascii="宋体" w:hAnsi="宋体" w:eastAsia="宋体" w:cs="Times New Roman"/>
          <w:b/>
          <w:sz w:val="24"/>
          <w:szCs w:val="24"/>
          <w:highlight w:val="none"/>
        </w:rPr>
      </w:pPr>
      <w:r>
        <w:rPr>
          <w:rFonts w:ascii="宋体" w:hAnsi="宋体" w:eastAsia="宋体" w:cs="Times New Roman"/>
          <w:b/>
          <w:sz w:val="24"/>
          <w:szCs w:val="24"/>
          <w:highlight w:val="none"/>
        </w:rPr>
        <w:t>中标人确定：技术入围后，原则上合理最低价中标。</w:t>
      </w:r>
    </w:p>
    <w:p>
      <w:pPr>
        <w:widowControl/>
        <w:spacing w:line="360" w:lineRule="auto"/>
        <w:ind w:right="2" w:firstLine="480"/>
        <w:jc w:val="left"/>
        <w:rPr>
          <w:rFonts w:ascii="Calibri" w:hAnsi="Calibri" w:eastAsia="宋体" w:cs="Times New Roman"/>
          <w:color w:val="000000"/>
          <w:sz w:val="24"/>
          <w:szCs w:val="24"/>
          <w:highlight w:val="none"/>
        </w:rPr>
      </w:pPr>
      <w:r>
        <w:rPr>
          <w:rFonts w:ascii="Calibri" w:hAnsi="Calibri" w:eastAsia="宋体" w:cs="Times New Roman"/>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他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highlight w:val="none"/>
          <w:lang w:bidi="ar"/>
        </w:rPr>
        <w:t>否变更意向中标人。</w:t>
      </w:r>
      <w:bookmarkStart w:id="24" w:name="OLE_LINK8"/>
      <w:bookmarkEnd w:id="24"/>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七、合同签订</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1.招标人根据评标工作小组的评标结果确定中标人，在重汽e采通平台公布中标结果，并发送中标通知。</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2.中标人应该在中标通知书规定的时间、地点与招标人签订采购合同，否则按照开标后撤回投标处理。</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pPr>
        <w:spacing w:line="360" w:lineRule="auto"/>
        <w:ind w:firstLine="482"/>
        <w:rPr>
          <w:rFonts w:ascii="宋体" w:hAnsi="宋体" w:eastAsia="宋体" w:cs="宋体"/>
          <w:b/>
          <w:sz w:val="24"/>
          <w:szCs w:val="24"/>
          <w:highlight w:val="none"/>
        </w:rPr>
      </w:pPr>
      <w:r>
        <w:rPr>
          <w:rFonts w:ascii="宋体" w:hAnsi="宋体" w:eastAsia="宋体" w:cs="宋体"/>
          <w:b/>
          <w:sz w:val="24"/>
          <w:szCs w:val="24"/>
          <w:highlight w:val="none"/>
        </w:rPr>
        <w:t>5.合同以双方最终签署的版本为准。</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八、废标及终止招标</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（1）投标人提供的有关资格、资质证明档不合格、不真实或提供虚假投标材料；</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（2）投标人在报价有效期内撤回投标；</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（4）投标人以任何方式诋毁其他投标人；</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（5）投标人串通投标；</w:t>
      </w:r>
    </w:p>
    <w:p>
      <w:pPr>
        <w:pStyle w:val="2"/>
        <w:spacing w:line="360" w:lineRule="auto"/>
        <w:rPr>
          <w:rFonts w:eastAsia="宋体" w:cs="宋体"/>
          <w:sz w:val="24"/>
          <w:szCs w:val="24"/>
          <w:highlight w:val="none"/>
        </w:rPr>
      </w:pPr>
      <w:r>
        <w:rPr>
          <w:rFonts w:eastAsia="宋体" w:cs="宋体"/>
          <w:color w:val="000000"/>
          <w:sz w:val="24"/>
          <w:szCs w:val="24"/>
          <w:highlight w:val="none"/>
        </w:rPr>
        <w:t xml:space="preserve">    （6）投标人被举报、检举，并经招标人查实无误的；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（7）以他人名义投标或者以其他方式弄虚作假，骗取中标的；</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（8）投标人负责人为同一人或者存在控股、管理关系的不同单位；</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（9）有效投标不足三家；</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（10）未按要求填报商务报价资料，对招标开展造成较大影响；</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w:t>
      </w:r>
      <w:r>
        <w:rPr>
          <w:rFonts w:ascii="宋体" w:hAnsi="宋体" w:eastAsia="宋体" w:cs="宋体"/>
          <w:sz w:val="24"/>
          <w:szCs w:val="24"/>
          <w:highlight w:val="none"/>
        </w:rPr>
        <w:t>1）未按照招标人规定的时间内在中国重汽e采通完成投标的；</w:t>
      </w:r>
    </w:p>
    <w:p>
      <w:pPr>
        <w:pStyle w:val="2"/>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12</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不同投标人的投标档异常一致</w:t>
      </w:r>
      <w:r>
        <w:rPr>
          <w:rFonts w:ascii="宋体" w:hAnsi="宋体" w:eastAsia="宋体" w:cs="宋体"/>
          <w:color w:val="000000"/>
          <w:sz w:val="24"/>
          <w:szCs w:val="24"/>
          <w:highlight w:val="none"/>
          <w:lang w:eastAsia="zh-CN"/>
        </w:rPr>
        <w:t>；</w:t>
      </w:r>
    </w:p>
    <w:p>
      <w:pPr>
        <w:pStyle w:val="2"/>
        <w:spacing w:line="360" w:lineRule="auto"/>
        <w:ind w:firstLine="480"/>
        <w:rPr>
          <w:rFonts w:ascii="宋体" w:hAnsi="宋体" w:eastAsia="宋体" w:cs="宋体"/>
          <w:color w:val="000000"/>
          <w:sz w:val="24"/>
          <w:szCs w:val="24"/>
          <w:highlight w:val="none"/>
          <w:lang w:eastAsia="zh-CN"/>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13</w:t>
      </w:r>
      <w:r>
        <w:rPr>
          <w:rFonts w:ascii="宋体" w:hAnsi="宋体" w:eastAsia="宋体" w:cs="宋体"/>
          <w:color w:val="000000"/>
          <w:sz w:val="24"/>
          <w:szCs w:val="24"/>
          <w:highlight w:val="none"/>
          <w:lang w:eastAsia="zh-CN"/>
        </w:rPr>
        <w:t>）投标报价呈规律性差异的；</w:t>
      </w:r>
    </w:p>
    <w:p>
      <w:pPr>
        <w:pStyle w:val="2"/>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eastAsia="宋体" w:cs="宋体"/>
          <w:color w:val="000000"/>
          <w:sz w:val="24"/>
          <w:szCs w:val="24"/>
          <w:highlight w:val="none"/>
          <w:lang w:val="en-US" w:eastAsia="zh-CN"/>
        </w:rPr>
        <w:t>14</w:t>
      </w:r>
      <w:r>
        <w:rPr>
          <w:rFonts w:ascii="宋体" w:hAnsi="宋体" w:eastAsia="宋体" w:cs="宋体"/>
          <w:color w:val="000000"/>
          <w:sz w:val="24"/>
          <w:szCs w:val="24"/>
          <w:highlight w:val="none"/>
          <w:lang w:eastAsia="zh-CN"/>
        </w:rPr>
        <w:t>）投标人报价均超过采购预算的；</w:t>
      </w:r>
    </w:p>
    <w:p>
      <w:pPr>
        <w:spacing w:line="360" w:lineRule="auto"/>
        <w:ind w:right="2"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1</w:t>
      </w:r>
      <w:r>
        <w:rPr>
          <w:rFonts w:eastAsia="宋体" w:cs="宋体"/>
          <w:color w:val="000000"/>
          <w:sz w:val="24"/>
          <w:szCs w:val="24"/>
          <w:highlight w:val="none"/>
          <w:lang w:val="en-US" w:eastAsia="zh-CN"/>
        </w:rPr>
        <w:t>5</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rPr>
        <w:t>法律、法规规定的其他情况。</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2.出现下列情形之一，招标人有权否决所有投标人的投标，并终止招标。</w:t>
      </w:r>
    </w:p>
    <w:p>
      <w:pPr>
        <w:spacing w:line="360" w:lineRule="auto"/>
        <w:ind w:right="2" w:firstLine="480"/>
        <w:rPr>
          <w:rFonts w:ascii="宋体" w:hAnsi="宋体" w:eastAsia="宋体" w:cs="宋体"/>
          <w:b/>
          <w:sz w:val="24"/>
          <w:szCs w:val="24"/>
          <w:highlight w:val="none"/>
        </w:rPr>
      </w:pPr>
      <w:r>
        <w:rPr>
          <w:rFonts w:ascii="宋体" w:hAnsi="宋体" w:eastAsia="宋体" w:cs="宋体"/>
          <w:sz w:val="24"/>
          <w:szCs w:val="24"/>
          <w:highlight w:val="none"/>
        </w:rPr>
        <w:t>（1）符合条件的投标人或者对招标档做实质回应的投标人不足三家的；</w:t>
      </w:r>
    </w:p>
    <w:p>
      <w:pPr>
        <w:spacing w:line="360" w:lineRule="auto"/>
        <w:ind w:right="2" w:firstLine="480"/>
        <w:rPr>
          <w:rFonts w:ascii="宋体" w:hAnsi="宋体" w:eastAsia="宋体" w:cs="宋体"/>
          <w:sz w:val="24"/>
          <w:szCs w:val="24"/>
          <w:highlight w:val="none"/>
        </w:rPr>
      </w:pPr>
      <w:r>
        <w:rPr>
          <w:rFonts w:ascii="宋体" w:hAnsi="宋体" w:eastAsia="宋体" w:cs="宋体"/>
          <w:sz w:val="24"/>
          <w:szCs w:val="24"/>
          <w:highlight w:val="none"/>
        </w:rPr>
        <w:t>（2）出现影响采购公正的违法、违规行为的；</w:t>
      </w:r>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（3）评标委员会经评审，认为所有投标都不符合招标档要求的；</w:t>
      </w:r>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（4）因重大变故，采购任务取消的</w:t>
      </w:r>
      <w:bookmarkStart w:id="25" w:name="OLE_LINK25"/>
      <w:bookmarkStart w:id="26" w:name="OLE_LINK29"/>
      <w:bookmarkStart w:id="27" w:name="OLE_LINK26"/>
      <w:bookmarkStart w:id="28" w:name="OLE_LINK28"/>
      <w:bookmarkStart w:id="29" w:name="OLE_LINK27"/>
      <w:r>
        <w:rPr>
          <w:rFonts w:ascii="宋体" w:hAnsi="宋体" w:eastAsia="宋体" w:cs="宋体"/>
          <w:bCs/>
          <w:sz w:val="24"/>
          <w:szCs w:val="24"/>
          <w:highlight w:val="none"/>
        </w:rPr>
        <w:t>；</w:t>
      </w:r>
      <w:bookmarkEnd w:id="25"/>
      <w:bookmarkEnd w:id="26"/>
      <w:bookmarkEnd w:id="27"/>
      <w:bookmarkEnd w:id="28"/>
      <w:bookmarkEnd w:id="29"/>
    </w:p>
    <w:p>
      <w:pPr>
        <w:spacing w:line="360" w:lineRule="auto"/>
        <w:ind w:right="2" w:firstLine="480"/>
        <w:rPr>
          <w:rFonts w:ascii="宋体" w:hAnsi="宋体" w:eastAsia="宋体" w:cs="宋体"/>
          <w:bCs/>
          <w:sz w:val="24"/>
          <w:szCs w:val="24"/>
          <w:highlight w:val="none"/>
        </w:rPr>
      </w:pPr>
      <w:r>
        <w:rPr>
          <w:rFonts w:ascii="宋体" w:hAnsi="宋体" w:eastAsia="宋体" w:cs="宋体"/>
          <w:bCs/>
          <w:sz w:val="24"/>
          <w:szCs w:val="24"/>
          <w:highlight w:val="none"/>
        </w:rPr>
        <w:t>（5）投标人承诺同意由于招标人公司政策变化引起的随时终止项目的要求并承担由此带来的一切损失；</w:t>
      </w:r>
    </w:p>
    <w:p>
      <w:pPr>
        <w:pStyle w:val="2"/>
        <w:spacing w:line="360" w:lineRule="auto"/>
        <w:ind w:firstLine="480"/>
        <w:rPr>
          <w:rFonts w:eastAsia="宋体" w:cs="宋体"/>
          <w:bCs/>
          <w:sz w:val="24"/>
          <w:szCs w:val="24"/>
          <w:highlight w:val="none"/>
        </w:rPr>
      </w:pPr>
      <w:r>
        <w:rPr>
          <w:rFonts w:eastAsia="宋体" w:cs="宋体"/>
          <w:bCs/>
          <w:sz w:val="24"/>
          <w:szCs w:val="24"/>
          <w:highlight w:val="none"/>
        </w:rPr>
        <w:t>（6）招标人认为其他应终止招标的情形。</w:t>
      </w:r>
    </w:p>
    <w:p>
      <w:pPr>
        <w:spacing w:line="360" w:lineRule="auto"/>
        <w:ind w:right="2" w:firstLine="0"/>
        <w:rPr>
          <w:rFonts w:ascii="宋体" w:hAnsi="宋体" w:eastAsia="宋体" w:cs="宋体"/>
          <w:color w:val="000000"/>
          <w:sz w:val="24"/>
          <w:szCs w:val="24"/>
          <w:highlight w:val="none"/>
        </w:rPr>
      </w:pPr>
      <w:r>
        <w:rPr>
          <w:rFonts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numPr>
          <w:ilvl w:val="0"/>
          <w:numId w:val="0"/>
        </w:numPr>
        <w:spacing w:line="360" w:lineRule="auto"/>
        <w:ind w:right="2" w:firstLine="482"/>
        <w:outlineLvl w:val="1"/>
        <w:rPr>
          <w:rFonts w:ascii="宋体" w:hAnsi="宋体" w:eastAsia="宋体" w:cs="宋体"/>
          <w:b/>
          <w:color w:val="000000"/>
          <w:sz w:val="24"/>
          <w:szCs w:val="24"/>
          <w:highlight w:val="none"/>
        </w:rPr>
        <w:sectPr>
          <w:headerReference r:id="rId10" w:type="default"/>
          <w:footerReference r:id="rId11"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b/>
          <w:bCs/>
          <w:sz w:val="24"/>
          <w:szCs w:val="24"/>
          <w:highlight w:val="none"/>
        </w:rPr>
        <w:t>九、本次招标最终解释权</w:t>
      </w:r>
      <w:r>
        <w:rPr>
          <w:rFonts w:ascii="宋体" w:hAnsi="宋体" w:eastAsia="宋体" w:cs="宋体"/>
          <w:b/>
          <w:color w:val="000000"/>
          <w:sz w:val="24"/>
          <w:szCs w:val="24"/>
          <w:highlight w:val="none"/>
        </w:rPr>
        <w:t>归中国重汽集团济南动力有限公司。</w:t>
      </w:r>
    </w:p>
    <w:p>
      <w:pPr>
        <w:pStyle w:val="2"/>
        <w:numPr>
          <w:ilvl w:val="0"/>
          <w:numId w:val="0"/>
        </w:numPr>
        <w:ind w:left="0" w:firstLine="0"/>
        <w:jc w:val="center"/>
        <w:outlineLvl w:val="0"/>
        <w:rPr>
          <w:rFonts w:ascii="Calibri" w:hAnsi="Calibri" w:eastAsia="宋体" w:cs="Times New Roman"/>
          <w:b/>
          <w:bCs/>
          <w:kern w:val="2"/>
          <w:sz w:val="36"/>
          <w:szCs w:val="44"/>
          <w:highlight w:val="none"/>
        </w:rPr>
      </w:pPr>
      <w:bookmarkStart w:id="30" w:name="_Toc20220"/>
      <w:r>
        <w:rPr>
          <w:rFonts w:ascii="Calibri" w:hAnsi="Calibri" w:eastAsia="宋体" w:cs="Times New Roman"/>
          <w:b/>
          <w:bCs/>
          <w:kern w:val="2"/>
          <w:sz w:val="36"/>
          <w:szCs w:val="44"/>
          <w:highlight w:val="none"/>
        </w:rPr>
        <w:t>第三部分 投标档编制</w:t>
      </w:r>
      <w:bookmarkEnd w:id="30"/>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一、投标档的编制</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1.投标人应认真阅读招标档的所有内容，按招标档的要求提供投标档，并保证提供的全部资料的真实性，以使其投标对招标档作出实质性回应，否则，其投标将被拒绝。</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2.投标档和与投标有关的所有档均应使用中文。</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3.除投标档的技术规格中另有规定外，投标档中所使用的计量单位应为中华人民共和国法定计量单位。</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二、投标档资料</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1.投标人所投标设备详细技术资料清单，在标书中列示说明；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2.投标人完整的技术支持与售后服务实施方案，在标书中列示说明，包含但不限于以下内容：</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B、售后服务机构或网点（名称、地址、联系人、电话）。</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C、针对本项目的技术服务团队情况（人员数量、姓名、电话、专业资质等）。</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D、日常维护保养及故障排除措施保证。</w:t>
      </w:r>
    </w:p>
    <w:p>
      <w:pPr>
        <w:spacing w:line="360" w:lineRule="auto"/>
        <w:ind w:firstLine="480"/>
        <w:rPr>
          <w:rFonts w:ascii="宋体" w:hAnsi="宋体" w:eastAsia="宋体" w:cs="宋体"/>
          <w:sz w:val="24"/>
          <w:szCs w:val="24"/>
          <w:highlight w:val="none"/>
        </w:rPr>
      </w:pPr>
      <w:r>
        <w:rPr>
          <w:rFonts w:ascii="宋体" w:hAnsi="宋体" w:eastAsia="宋体" w:cs="宋体"/>
          <w:color w:val="000000"/>
          <w:sz w:val="24"/>
          <w:szCs w:val="24"/>
          <w:highlight w:val="none"/>
        </w:rPr>
        <w:t>3.投标人关于包装、运输、检验、交付、安装、调试、培训等方案，均需在投标档中列示说明。</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三、投标档的组成</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sz w:val="24"/>
          <w:szCs w:val="24"/>
          <w:highlight w:val="none"/>
        </w:rPr>
        <w:t>本项目投标档分为</w:t>
      </w:r>
      <w:r>
        <w:rPr>
          <w:rFonts w:ascii="宋体" w:hAnsi="宋体" w:eastAsia="宋体" w:cs="宋体"/>
          <w:b/>
          <w:sz w:val="24"/>
          <w:szCs w:val="24"/>
          <w:highlight w:val="none"/>
        </w:rPr>
        <w:t>纸质版</w:t>
      </w:r>
      <w:r>
        <w:rPr>
          <w:rFonts w:ascii="宋体" w:hAnsi="宋体" w:eastAsia="宋体" w:cs="宋体"/>
          <w:bCs/>
          <w:sz w:val="24"/>
          <w:szCs w:val="24"/>
          <w:highlight w:val="none"/>
        </w:rPr>
        <w:t>投标档和</w:t>
      </w:r>
      <w:r>
        <w:rPr>
          <w:rFonts w:ascii="宋体" w:hAnsi="宋体" w:eastAsia="宋体" w:cs="宋体"/>
          <w:b/>
          <w:sz w:val="24"/>
          <w:szCs w:val="24"/>
          <w:highlight w:val="none"/>
        </w:rPr>
        <w:t>电子版</w:t>
      </w:r>
      <w:r>
        <w:rPr>
          <w:rFonts w:ascii="宋体" w:hAnsi="宋体" w:eastAsia="宋体" w:cs="宋体"/>
          <w:bCs/>
          <w:sz w:val="24"/>
          <w:szCs w:val="24"/>
          <w:highlight w:val="none"/>
        </w:rPr>
        <w:t>投标档</w:t>
      </w:r>
      <w:r>
        <w:rPr>
          <w:rFonts w:ascii="宋体" w:hAnsi="宋体" w:eastAsia="宋体" w:cs="宋体"/>
          <w:bCs/>
          <w:sz w:val="24"/>
          <w:szCs w:val="24"/>
          <w:highlight w:val="none"/>
          <w:lang w:eastAsia="zh-CN"/>
        </w:rPr>
        <w:t>（</w:t>
      </w:r>
      <w:r>
        <w:rPr>
          <w:rFonts w:ascii="宋体" w:hAnsi="宋体" w:eastAsia="宋体" w:cs="宋体"/>
          <w:bCs/>
          <w:sz w:val="24"/>
          <w:szCs w:val="24"/>
          <w:highlight w:val="none"/>
          <w:lang w:val="en-US" w:eastAsia="zh-CN"/>
        </w:rPr>
        <w:t>电子版投标档为纸质盖章版的扫描件</w:t>
      </w:r>
      <w:r>
        <w:rPr>
          <w:rFonts w:ascii="宋体" w:hAnsi="宋体" w:eastAsia="宋体"/>
          <w:bCs/>
          <w:color w:val="000000"/>
          <w:sz w:val="24"/>
          <w:szCs w:val="24"/>
          <w:highlight w:val="none"/>
        </w:rPr>
        <w:t>或加盖电子章</w:t>
      </w:r>
      <w:r>
        <w:rPr>
          <w:rFonts w:ascii="宋体" w:hAnsi="宋体" w:eastAsia="宋体" w:cs="宋体"/>
          <w:bCs/>
          <w:sz w:val="24"/>
          <w:szCs w:val="24"/>
          <w:highlight w:val="none"/>
          <w:lang w:val="en-US" w:eastAsia="zh-CN"/>
        </w:rPr>
        <w:t>，不盖章无效</w:t>
      </w:r>
      <w:r>
        <w:rPr>
          <w:rFonts w:ascii="宋体" w:hAnsi="宋体" w:eastAsia="宋体" w:cs="宋体"/>
          <w:bCs/>
          <w:sz w:val="24"/>
          <w:szCs w:val="24"/>
          <w:highlight w:val="none"/>
          <w:lang w:eastAsia="zh-CN"/>
        </w:rPr>
        <w:t>）</w:t>
      </w:r>
      <w:r>
        <w:rPr>
          <w:rFonts w:ascii="宋体" w:hAnsi="宋体" w:eastAsia="宋体" w:cs="宋体"/>
          <w:bCs/>
          <w:sz w:val="24"/>
          <w:szCs w:val="24"/>
          <w:highlight w:val="none"/>
        </w:rPr>
        <w:t>，均由</w:t>
      </w:r>
      <w:r>
        <w:rPr>
          <w:rFonts w:ascii="宋体" w:hAnsi="宋体" w:eastAsia="宋体" w:cs="宋体"/>
          <w:b/>
          <w:sz w:val="24"/>
          <w:szCs w:val="24"/>
          <w:highlight w:val="none"/>
        </w:rPr>
        <w:t>《投标档（资质标）》、《投标档（技术标）》、《投标档（商务标）》（开标一览表）</w:t>
      </w:r>
      <w:r>
        <w:rPr>
          <w:rFonts w:ascii="宋体" w:hAnsi="宋体" w:eastAsia="宋体" w:cs="宋体"/>
          <w:bCs/>
          <w:sz w:val="24"/>
          <w:szCs w:val="24"/>
          <w:highlight w:val="none"/>
        </w:rPr>
        <w:t>档组成，共计3</w:t>
      </w:r>
      <w:r>
        <w:rPr>
          <w:rFonts w:ascii="宋体" w:hAnsi="宋体" w:eastAsia="宋体" w:cs="宋体"/>
          <w:bCs/>
          <w:color w:val="000000"/>
          <w:sz w:val="24"/>
          <w:szCs w:val="24"/>
          <w:highlight w:val="none"/>
        </w:rPr>
        <w:t>个档。</w:t>
      </w:r>
    </w:p>
    <w:p>
      <w:pPr>
        <w:spacing w:line="360" w:lineRule="auto"/>
        <w:ind w:firstLine="482"/>
        <w:rPr>
          <w:rFonts w:ascii="宋体" w:hAnsi="宋体" w:eastAsia="宋体" w:cs="宋体"/>
          <w:bCs/>
          <w:color w:val="000000"/>
          <w:sz w:val="24"/>
          <w:szCs w:val="24"/>
          <w:highlight w:val="none"/>
        </w:rPr>
      </w:pPr>
      <w:r>
        <w:rPr>
          <w:rFonts w:ascii="宋体" w:hAnsi="宋体" w:eastAsia="宋体" w:cs="宋体"/>
          <w:b/>
          <w:color w:val="000000"/>
          <w:sz w:val="24"/>
          <w:szCs w:val="24"/>
          <w:highlight w:val="none"/>
        </w:rPr>
        <w:t>投标档的份数要求及投递方式</w:t>
      </w:r>
      <w:r>
        <w:rPr>
          <w:rFonts w:ascii="宋体" w:hAnsi="宋体" w:eastAsia="宋体" w:cs="宋体"/>
          <w:bCs/>
          <w:color w:val="000000"/>
          <w:sz w:val="24"/>
          <w:szCs w:val="24"/>
          <w:highlight w:val="none"/>
        </w:rPr>
        <w:t>，见《投标须知前附表》第3条。</w:t>
      </w:r>
    </w:p>
    <w:p>
      <w:pPr>
        <w:spacing w:line="360" w:lineRule="auto"/>
        <w:ind w:firstLine="480"/>
        <w:rPr>
          <w:rFonts w:ascii="宋体" w:hAnsi="宋体" w:eastAsia="宋体" w:cs="宋体"/>
          <w:bCs/>
          <w:color w:val="000000"/>
          <w:sz w:val="24"/>
          <w:szCs w:val="24"/>
          <w:highlight w:val="none"/>
        </w:rPr>
      </w:pPr>
      <w:r>
        <w:rPr>
          <w:rFonts w:ascii="宋体" w:hAnsi="宋体" w:eastAsia="宋体" w:cs="宋体"/>
          <w:bCs/>
          <w:color w:val="000000"/>
          <w:sz w:val="24"/>
          <w:szCs w:val="24"/>
          <w:highlight w:val="none"/>
        </w:rPr>
        <w:t>详见附件格式1—13，其余未尽事宜请按各单位习惯制定即可。</w:t>
      </w:r>
    </w:p>
    <w:p>
      <w:pPr>
        <w:spacing w:line="360" w:lineRule="auto"/>
        <w:ind w:firstLine="482"/>
        <w:rPr>
          <w:rFonts w:ascii="宋体" w:hAnsi="宋体" w:eastAsia="宋体" w:cs="宋体"/>
          <w:color w:val="000000"/>
          <w:sz w:val="24"/>
          <w:szCs w:val="24"/>
          <w:highlight w:val="none"/>
        </w:rPr>
      </w:pPr>
      <w:r>
        <w:rPr>
          <w:rFonts w:ascii="宋体" w:hAnsi="宋体" w:eastAsia="宋体" w:cs="宋体"/>
          <w:b/>
          <w:bCs/>
          <w:sz w:val="24"/>
          <w:szCs w:val="24"/>
          <w:highlight w:val="none"/>
        </w:rPr>
        <w:t>1.《投标档（资质标）》包括</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1.1营业执照副本复印件</w:t>
      </w:r>
      <w:r>
        <w:rPr>
          <w:rFonts w:ascii="宋体" w:hAnsi="宋体" w:eastAsia="宋体" w:cs="宋体"/>
          <w:b/>
          <w:bCs/>
          <w:color w:val="000000"/>
          <w:sz w:val="24"/>
          <w:szCs w:val="24"/>
          <w:highlight w:val="none"/>
        </w:rPr>
        <w:t>（需加盖公章）</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1.2投标函（附件1）；</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ascii="宋体" w:hAnsi="宋体" w:eastAsia="宋体" w:cs="宋体"/>
          <w:b/>
          <w:color w:val="000000"/>
          <w:sz w:val="24"/>
          <w:szCs w:val="24"/>
          <w:highlight w:val="none"/>
        </w:rPr>
        <w:t>（含法人身份证和被授权人身份证正反面复印件）</w:t>
      </w:r>
      <w:r>
        <w:rPr>
          <w:rFonts w:ascii="宋体" w:hAnsi="宋体" w:eastAsia="宋体" w:cs="宋体"/>
          <w:bCs/>
          <w:color w:val="000000"/>
          <w:sz w:val="24"/>
          <w:szCs w:val="24"/>
          <w:highlight w:val="none"/>
        </w:rPr>
        <w:t>和</w:t>
      </w:r>
      <w:r>
        <w:rPr>
          <w:rFonts w:ascii="宋体" w:hAnsi="宋体" w:eastAsia="宋体" w:cs="宋体"/>
          <w:sz w:val="24"/>
          <w:szCs w:val="24"/>
          <w:highlight w:val="none"/>
        </w:rPr>
        <w:t>被授权人</w:t>
      </w:r>
      <w:r>
        <w:rPr>
          <w:rFonts w:ascii="宋体" w:hAnsi="宋体" w:eastAsia="宋体" w:cs="宋体"/>
          <w:kern w:val="0"/>
          <w:sz w:val="24"/>
          <w:szCs w:val="24"/>
          <w:highlight w:val="none"/>
          <w:lang w:bidi="en-US"/>
        </w:rPr>
        <w:t>近</w:t>
      </w:r>
      <w:r>
        <w:rPr>
          <w:rFonts w:ascii="宋体" w:hAnsi="宋体" w:eastAsia="宋体" w:cs="宋体"/>
          <w:kern w:val="0"/>
          <w:sz w:val="24"/>
          <w:szCs w:val="24"/>
          <w:highlight w:val="none"/>
          <w:lang w:val="en-US" w:eastAsia="zh-CN" w:bidi="en-US"/>
        </w:rPr>
        <w:t>6</w:t>
      </w:r>
      <w:r>
        <w:rPr>
          <w:rFonts w:ascii="宋体" w:hAnsi="宋体" w:eastAsia="宋体" w:cs="宋体"/>
          <w:kern w:val="0"/>
          <w:sz w:val="24"/>
          <w:szCs w:val="24"/>
          <w:highlight w:val="none"/>
          <w:lang w:bidi="en-US"/>
        </w:rPr>
        <w:t>个月</w:t>
      </w:r>
      <w:r>
        <w:rPr>
          <w:rFonts w:ascii="宋体" w:hAnsi="宋体" w:eastAsia="宋体" w:cs="宋体"/>
          <w:kern w:val="0"/>
          <w:sz w:val="24"/>
          <w:szCs w:val="24"/>
          <w:highlight w:val="none"/>
          <w:lang w:val="en-US" w:eastAsia="zh-CN" w:bidi="en-US"/>
        </w:rPr>
        <w:t>及以上在授权单位的社保</w:t>
      </w:r>
      <w:r>
        <w:rPr>
          <w:rFonts w:ascii="宋体" w:hAnsi="宋体" w:eastAsia="宋体" w:cs="宋体"/>
          <w:kern w:val="0"/>
          <w:sz w:val="24"/>
          <w:szCs w:val="24"/>
          <w:highlight w:val="none"/>
          <w:lang w:bidi="en-US"/>
        </w:rPr>
        <w:t>缴纳证明</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1.4</w:t>
      </w:r>
      <w:bookmarkStart w:id="31" w:name="OLE_LINK3"/>
      <w:r>
        <w:rPr>
          <w:rFonts w:ascii="宋体" w:hAnsi="宋体" w:eastAsia="宋体" w:cs="宋体"/>
          <w:color w:val="000000"/>
          <w:sz w:val="24"/>
          <w:szCs w:val="24"/>
          <w:highlight w:val="none"/>
        </w:rPr>
        <w:t>经会计师事务所审计且出具无保留意见的近三年的财务审计报告，并加盖公章，包括但不限于报告页、经审计的资产负债表、利润表、现金流量表及报表附注。</w:t>
      </w:r>
      <w:bookmarkEnd w:id="31"/>
      <w:r>
        <w:rPr>
          <w:rFonts w:ascii="宋体" w:hAnsi="宋体" w:eastAsia="宋体" w:cs="宋体"/>
          <w:color w:val="000000"/>
          <w:sz w:val="24"/>
          <w:szCs w:val="24"/>
          <w:highlight w:val="none"/>
        </w:rPr>
        <w:t>必须连续，同时填写投标人基本情况及资产情况汇总表（附件3）（如投标人公司没有经审计的财务报告，可提供加盖公章的近三年财务报表，包括但不限于资产负债表、利润表、现金流量表）</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1.5近三年内在经营活动中</w:t>
      </w:r>
      <w:r>
        <w:rPr>
          <w:rFonts w:eastAsia="宋体" w:cs="宋体"/>
          <w:color w:val="000000"/>
          <w:sz w:val="24"/>
          <w:szCs w:val="24"/>
          <w:highlight w:val="none"/>
        </w:rPr>
        <w:t>无与本项目有关的违法及重大违规</w:t>
      </w:r>
      <w:r>
        <w:rPr>
          <w:rFonts w:ascii="宋体" w:hAnsi="宋体" w:eastAsia="宋体" w:cs="宋体"/>
          <w:color w:val="000000"/>
          <w:sz w:val="24"/>
          <w:szCs w:val="24"/>
          <w:highlight w:val="none"/>
        </w:rPr>
        <w:t>行为的声明；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1.6投标人在国家企业信用信息公示系统中无与本项目有关的行政处罚、经营异常和失信信息的声明；</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1.7企业对外担保说明（写投标人对外有无担保和质押业务，需加盖公章）；</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1.8企业信用证明材料（征信报告）；</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1.9代理商投标要携带生产商的授权书、原厂售后服务承诺书，</w:t>
      </w:r>
      <w:r>
        <w:rPr>
          <w:rFonts w:ascii="宋体" w:hAnsi="宋体" w:eastAsia="宋体" w:cs="宋体"/>
          <w:b/>
          <w:color w:val="000000"/>
          <w:sz w:val="24"/>
          <w:szCs w:val="24"/>
          <w:highlight w:val="none"/>
        </w:rPr>
        <w:t>根据实际情况提供即可，无格式限制；</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1.10企业最近半年的完税证明、年度纳税信用评价信息（可从电子税务局查询截图，需加盖公章）；</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1.11保密承诺函（附件4）；</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1.12</w:t>
      </w:r>
      <w:r>
        <w:rPr>
          <w:rFonts w:ascii="宋体" w:hAnsi="宋体" w:eastAsia="宋体" w:cs="Times New Roman"/>
          <w:color w:val="000000"/>
          <w:sz w:val="24"/>
          <w:szCs w:val="24"/>
          <w:highlight w:val="none"/>
        </w:rPr>
        <w:t>企业202</w:t>
      </w:r>
      <w:r>
        <w:rPr>
          <w:rFonts w:hint="eastAsia" w:ascii="宋体" w:hAnsi="宋体" w:eastAsia="宋体" w:cs="Times New Roman"/>
          <w:color w:val="000000"/>
          <w:sz w:val="24"/>
          <w:szCs w:val="24"/>
          <w:highlight w:val="none"/>
          <w:lang w:val="en-US" w:eastAsia="zh-CN"/>
        </w:rPr>
        <w:t>1</w:t>
      </w:r>
      <w:r>
        <w:rPr>
          <w:rFonts w:ascii="宋体" w:hAnsi="宋体" w:eastAsia="宋体" w:cs="Times New Roman"/>
          <w:color w:val="000000"/>
          <w:sz w:val="24"/>
          <w:szCs w:val="24"/>
          <w:highlight w:val="none"/>
        </w:rPr>
        <w:t>年1月1日以来同类项目业绩证明，</w:t>
      </w:r>
      <w:r>
        <w:rPr>
          <w:rFonts w:ascii="宋体" w:hAnsi="宋体" w:eastAsia="宋体" w:cs="宋体"/>
          <w:sz w:val="24"/>
          <w:szCs w:val="24"/>
          <w:highlight w:val="none"/>
        </w:rPr>
        <w:t>须提供</w:t>
      </w:r>
      <w:r>
        <w:rPr>
          <w:rFonts w:eastAsia="宋体" w:cs="宋体"/>
          <w:b/>
          <w:bCs/>
          <w:color w:val="000000"/>
          <w:kern w:val="0"/>
          <w:sz w:val="24"/>
          <w:szCs w:val="24"/>
          <w:highlight w:val="none"/>
        </w:rPr>
        <w:t>用户清单</w:t>
      </w:r>
      <w:r>
        <w:rPr>
          <w:rFonts w:ascii="宋体" w:hAnsi="宋体" w:eastAsia="宋体" w:cs="宋体"/>
          <w:sz w:val="24"/>
          <w:szCs w:val="24"/>
          <w:highlight w:val="none"/>
        </w:rPr>
        <w:t>、采购合同复印件</w:t>
      </w:r>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1.13投标保证金缴纳凭证</w:t>
      </w:r>
      <w:r>
        <w:rPr>
          <w:rFonts w:ascii="宋体" w:hAnsi="宋体" w:eastAsia="宋体" w:cs="宋体"/>
          <w:color w:val="000000"/>
          <w:sz w:val="24"/>
          <w:szCs w:val="24"/>
          <w:highlight w:val="none"/>
          <w:lang w:eastAsia="zh-CN"/>
        </w:rPr>
        <w:t>，</w:t>
      </w:r>
      <w:r>
        <w:rPr>
          <w:rFonts w:ascii="宋体" w:hAnsi="宋体" w:eastAsia="宋体" w:cs="宋体"/>
          <w:color w:val="000000"/>
          <w:sz w:val="24"/>
          <w:szCs w:val="24"/>
          <w:highlight w:val="none"/>
          <w:lang w:val="en-US" w:eastAsia="zh-CN"/>
        </w:rPr>
        <w:t>同时正文描述付款账号、户名、开户行名称、开户行行号、保证金金额</w:t>
      </w:r>
      <w:r>
        <w:rPr>
          <w:rFonts w:ascii="宋体" w:hAnsi="宋体" w:eastAsia="宋体" w:cs="宋体"/>
          <w:color w:val="000000"/>
          <w:sz w:val="24"/>
          <w:szCs w:val="24"/>
          <w:highlight w:val="none"/>
        </w:rPr>
        <w:t>。</w:t>
      </w:r>
    </w:p>
    <w:p>
      <w:pPr>
        <w:spacing w:line="360" w:lineRule="auto"/>
        <w:ind w:firstLine="482"/>
        <w:rPr>
          <w:rFonts w:ascii="宋体" w:hAnsi="宋体" w:eastAsia="宋体" w:cs="宋体"/>
          <w:b/>
          <w:bCs/>
          <w:sz w:val="24"/>
          <w:szCs w:val="24"/>
          <w:highlight w:val="none"/>
        </w:rPr>
      </w:pPr>
      <w:bookmarkStart w:id="32" w:name="_Toc212369515"/>
      <w:r>
        <w:rPr>
          <w:rFonts w:ascii="宋体" w:hAnsi="宋体" w:eastAsia="宋体" w:cs="宋体"/>
          <w:b/>
          <w:bCs/>
          <w:sz w:val="24"/>
          <w:szCs w:val="24"/>
          <w:highlight w:val="none"/>
        </w:rPr>
        <w:t>2.</w:t>
      </w:r>
      <w:r>
        <w:rPr>
          <w:rFonts w:ascii="宋体" w:hAnsi="宋体" w:eastAsia="宋体" w:cs="宋体"/>
          <w:b/>
          <w:sz w:val="24"/>
          <w:szCs w:val="24"/>
          <w:highlight w:val="none"/>
        </w:rPr>
        <w:t>《投标档（技术标）》</w:t>
      </w:r>
      <w:r>
        <w:rPr>
          <w:rFonts w:ascii="宋体" w:hAnsi="宋体" w:eastAsia="宋体" w:cs="宋体"/>
          <w:b/>
          <w:bCs/>
          <w:sz w:val="24"/>
          <w:szCs w:val="24"/>
          <w:highlight w:val="none"/>
        </w:rPr>
        <w:t>：</w:t>
      </w:r>
      <w:bookmarkEnd w:id="32"/>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2.1技术规格偏离表（附件5），</w:t>
      </w:r>
      <w:r>
        <w:rPr>
          <w:rFonts w:ascii="宋体" w:hAnsi="宋体" w:eastAsia="宋体" w:cs="宋体"/>
          <w:b/>
          <w:color w:val="000000"/>
          <w:sz w:val="24"/>
          <w:szCs w:val="24"/>
          <w:highlight w:val="none"/>
        </w:rPr>
        <w:t>必须先进行两列要求一一对照，不允许直接写无偏离；</w:t>
      </w:r>
    </w:p>
    <w:p>
      <w:pPr>
        <w:spacing w:line="360" w:lineRule="auto"/>
        <w:ind w:firstLine="480"/>
        <w:rPr>
          <w:rFonts w:ascii="宋体" w:hAnsi="宋体" w:eastAsia="宋体" w:cs="宋体"/>
          <w:b/>
          <w:color w:val="000000"/>
          <w:sz w:val="24"/>
          <w:szCs w:val="24"/>
          <w:highlight w:val="none"/>
        </w:rPr>
      </w:pPr>
      <w:r>
        <w:rPr>
          <w:rFonts w:ascii="宋体" w:hAnsi="宋体" w:eastAsia="宋体" w:cs="宋体"/>
          <w:bCs/>
          <w:color w:val="000000"/>
          <w:sz w:val="24"/>
          <w:szCs w:val="24"/>
          <w:highlight w:val="none"/>
        </w:rPr>
        <w:t>2.2</w:t>
      </w:r>
      <w:r>
        <w:rPr>
          <w:rFonts w:ascii="宋体" w:hAnsi="宋体" w:eastAsia="宋体" w:cs="宋体"/>
          <w:color w:val="000000"/>
          <w:sz w:val="24"/>
          <w:szCs w:val="24"/>
          <w:highlight w:val="none"/>
        </w:rPr>
        <w:t>提供202</w:t>
      </w:r>
      <w:r>
        <w:rPr>
          <w:rFonts w:hint="eastAsia" w:ascii="宋体" w:hAnsi="宋体" w:eastAsia="宋体" w:cs="宋体"/>
          <w:color w:val="000000"/>
          <w:sz w:val="24"/>
          <w:szCs w:val="24"/>
          <w:highlight w:val="none"/>
          <w:lang w:val="en-US" w:eastAsia="zh-CN"/>
        </w:rPr>
        <w:t>1</w:t>
      </w:r>
      <w:r>
        <w:rPr>
          <w:rFonts w:ascii="宋体" w:hAnsi="宋体" w:eastAsia="宋体" w:cs="宋体"/>
          <w:color w:val="000000"/>
          <w:sz w:val="24"/>
          <w:szCs w:val="24"/>
          <w:highlight w:val="none"/>
        </w:rPr>
        <w:t>年1月1日以来同类产品的制造销售业绩（附件6），填写用户名单、联系方式，并附合同复印件。该同类项目业绩一览表必</w:t>
      </w:r>
      <w:r>
        <w:rPr>
          <w:rFonts w:ascii="宋体" w:hAnsi="宋体" w:eastAsia="宋体" w:cs="宋体"/>
          <w:b/>
          <w:bCs/>
          <w:color w:val="000000"/>
          <w:sz w:val="24"/>
          <w:szCs w:val="24"/>
          <w:highlight w:val="none"/>
        </w:rPr>
        <w:t>须如实填写，应全尽全</w:t>
      </w:r>
      <w:r>
        <w:rPr>
          <w:rFonts w:ascii="宋体" w:hAnsi="宋体" w:eastAsia="宋体" w:cs="宋体"/>
          <w:color w:val="000000"/>
          <w:sz w:val="24"/>
          <w:szCs w:val="24"/>
          <w:highlight w:val="none"/>
        </w:rPr>
        <w:t>；</w:t>
      </w:r>
      <w:r>
        <w:rPr>
          <w:rFonts w:ascii="宋体" w:hAnsi="宋体" w:eastAsia="宋体" w:cs="宋体"/>
          <w:b/>
          <w:bCs/>
          <w:color w:val="000000"/>
          <w:sz w:val="24"/>
          <w:szCs w:val="24"/>
          <w:highlight w:val="none"/>
        </w:rPr>
        <w:t>一览表最终的所有业绩合同总额汇总必填</w:t>
      </w:r>
      <w:r>
        <w:rPr>
          <w:rFonts w:ascii="宋体" w:hAnsi="宋体" w:eastAsia="宋体" w:cs="宋体"/>
          <w:color w:val="000000"/>
          <w:sz w:val="24"/>
          <w:szCs w:val="24"/>
          <w:highlight w:val="none"/>
        </w:rPr>
        <w:t>，此项很重要，数据将影响现场评标专家组对投标单位的业绩考评。若未提供相应业绩证明，根据技术标评分规则，将影响现场评标专家组对投标单位业绩判定打分</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2.3供货期及保证措施；</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2.4产品的技术服务和售后服务内容及措施；</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2.5交货进度及计划；</w:t>
      </w:r>
    </w:p>
    <w:p>
      <w:pPr>
        <w:spacing w:line="360" w:lineRule="auto"/>
        <w:ind w:firstLine="480"/>
        <w:rPr>
          <w:rFonts w:ascii="宋体" w:hAnsi="宋体" w:eastAsia="宋体" w:cs="宋体"/>
          <w:color w:val="000000"/>
          <w:sz w:val="24"/>
          <w:szCs w:val="24"/>
          <w:highlight w:val="none"/>
        </w:rPr>
      </w:pPr>
      <w:bookmarkStart w:id="33" w:name="_Toc536542319"/>
      <w:r>
        <w:rPr>
          <w:rFonts w:ascii="宋体" w:hAnsi="宋体" w:eastAsia="宋体" w:cs="宋体"/>
          <w:color w:val="000000"/>
          <w:sz w:val="24"/>
          <w:szCs w:val="24"/>
          <w:highlight w:val="none"/>
        </w:rPr>
        <w:t>2.6投标产品技术支持材料</w:t>
      </w:r>
      <w:bookmarkEnd w:id="33"/>
      <w:r>
        <w:rPr>
          <w:rFonts w:ascii="宋体" w:hAnsi="宋体" w:eastAsia="宋体" w:cs="宋体"/>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2.7设备质量承诺函（附件7）；</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2.8投标人需提交的其他资料。</w:t>
      </w:r>
    </w:p>
    <w:p>
      <w:pPr>
        <w:spacing w:line="360" w:lineRule="auto"/>
        <w:ind w:firstLine="482"/>
        <w:rPr>
          <w:rFonts w:ascii="宋体" w:hAnsi="宋体" w:eastAsia="宋体" w:cs="宋体"/>
          <w:b/>
          <w:bCs/>
          <w:sz w:val="24"/>
          <w:szCs w:val="24"/>
          <w:highlight w:val="none"/>
        </w:rPr>
      </w:pPr>
      <w:r>
        <w:rPr>
          <w:rFonts w:ascii="宋体" w:hAnsi="宋体" w:eastAsia="宋体" w:cs="宋体"/>
          <w:b/>
          <w:bCs/>
          <w:sz w:val="24"/>
          <w:szCs w:val="24"/>
          <w:highlight w:val="none"/>
        </w:rPr>
        <w:t>3.</w:t>
      </w:r>
      <w:r>
        <w:rPr>
          <w:rFonts w:ascii="宋体" w:hAnsi="宋体" w:eastAsia="宋体" w:cs="宋体"/>
          <w:b/>
          <w:sz w:val="24"/>
          <w:szCs w:val="24"/>
          <w:highlight w:val="none"/>
        </w:rPr>
        <w:t>《投标档（商务标）》（开标一览表）</w:t>
      </w:r>
      <w:r>
        <w:rPr>
          <w:rFonts w:ascii="宋体" w:hAnsi="宋体" w:eastAsia="宋体" w:cs="宋体"/>
          <w:b/>
          <w:bCs/>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3.1开标一览表（附件8）；</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3.2投标报价明细表（附件9-1至9-5）</w:t>
      </w:r>
      <w:r>
        <w:rPr>
          <w:rFonts w:ascii="宋体" w:hAnsi="宋体" w:eastAsia="宋体" w:cs="宋体"/>
          <w:b/>
          <w:color w:val="000000"/>
          <w:sz w:val="24"/>
          <w:szCs w:val="24"/>
          <w:highlight w:val="none"/>
        </w:rPr>
        <w:t>；</w:t>
      </w:r>
    </w:p>
    <w:p>
      <w:pPr>
        <w:spacing w:line="360" w:lineRule="auto"/>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3.3商务条款偏离表（附件10）</w:t>
      </w:r>
      <w:bookmarkStart w:id="34" w:name="OLE_LINK18"/>
      <w:bookmarkStart w:id="35" w:name="OLE_LINK19"/>
      <w:r>
        <w:rPr>
          <w:rFonts w:ascii="宋体" w:hAnsi="宋体" w:eastAsia="宋体" w:cs="宋体"/>
          <w:b/>
          <w:color w:val="000000"/>
          <w:sz w:val="24"/>
          <w:szCs w:val="24"/>
          <w:highlight w:val="none"/>
        </w:rPr>
        <w:t>；</w:t>
      </w:r>
      <w:bookmarkEnd w:id="34"/>
      <w:bookmarkEnd w:id="35"/>
      <w:r>
        <w:rPr>
          <w:rFonts w:ascii="宋体" w:hAnsi="宋体" w:eastAsia="宋体" w:cs="宋体"/>
          <w:color w:val="000000"/>
          <w:sz w:val="24"/>
          <w:szCs w:val="24"/>
          <w:highlight w:val="none"/>
        </w:rPr>
        <w:t xml:space="preserve"> </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3.4投标人承诺（附件11），</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3.5服务承诺函（附件12）</w:t>
      </w:r>
      <w:r>
        <w:rPr>
          <w:rFonts w:ascii="宋体" w:hAnsi="宋体" w:eastAsia="宋体" w:cs="宋体"/>
          <w:b/>
          <w:color w:val="000000"/>
          <w:sz w:val="24"/>
          <w:szCs w:val="24"/>
          <w:highlight w:val="none"/>
        </w:rPr>
        <w:t>需写明质保期以外服务费用情况；</w:t>
      </w:r>
    </w:p>
    <w:p>
      <w:pPr>
        <w:spacing w:line="360" w:lineRule="auto"/>
        <w:ind w:firstLine="480"/>
        <w:rPr>
          <w:rFonts w:ascii="宋体" w:hAnsi="宋体" w:eastAsia="宋体" w:cs="宋体"/>
          <w:b/>
          <w:color w:val="000000"/>
          <w:sz w:val="24"/>
          <w:szCs w:val="24"/>
          <w:highlight w:val="none"/>
        </w:rPr>
      </w:pPr>
      <w:r>
        <w:rPr>
          <w:rFonts w:ascii="宋体" w:hAnsi="宋体" w:eastAsia="宋体" w:cs="宋体"/>
          <w:color w:val="000000"/>
          <w:sz w:val="24"/>
          <w:szCs w:val="24"/>
          <w:highlight w:val="none"/>
        </w:rPr>
        <w:t>3.6按招标档投标人须知和技术规格书中要求提供的有关档。</w:t>
      </w:r>
    </w:p>
    <w:p>
      <w:pPr>
        <w:keepNext/>
        <w:keepLines/>
        <w:numPr>
          <w:ilvl w:val="0"/>
          <w:numId w:val="0"/>
        </w:numPr>
        <w:spacing w:line="360" w:lineRule="auto"/>
        <w:outlineLvl w:val="1"/>
        <w:rPr>
          <w:rFonts w:ascii="宋体" w:hAnsi="宋体" w:eastAsia="宋体" w:cs="宋体"/>
          <w:b/>
          <w:bCs/>
          <w:sz w:val="24"/>
          <w:szCs w:val="24"/>
          <w:highlight w:val="none"/>
        </w:rPr>
      </w:pPr>
      <w:r>
        <w:rPr>
          <w:rFonts w:ascii="宋体" w:hAnsi="宋体" w:eastAsia="宋体" w:cs="宋体"/>
          <w:b/>
          <w:bCs/>
          <w:sz w:val="24"/>
          <w:szCs w:val="24"/>
          <w:highlight w:val="none"/>
        </w:rPr>
        <w:t>四、投标档格式</w:t>
      </w:r>
    </w:p>
    <w:p>
      <w:pPr>
        <w:spacing w:line="360" w:lineRule="auto"/>
        <w:ind w:firstLine="480"/>
        <w:rPr>
          <w:rFonts w:ascii="宋体" w:hAnsi="宋体" w:eastAsia="宋体" w:cs="宋体"/>
          <w:color w:val="000000"/>
          <w:sz w:val="24"/>
          <w:szCs w:val="24"/>
          <w:highlight w:val="none"/>
        </w:rPr>
        <w:sectPr>
          <w:headerReference r:id="rId12" w:type="default"/>
          <w:footerReference r:id="rId13" w:type="default"/>
          <w:pgSz w:w="11906" w:h="16838"/>
          <w:pgMar w:top="1304" w:right="1418" w:bottom="1304" w:left="1418" w:header="724" w:footer="851" w:gutter="0"/>
          <w:pgNumType w:fmt="decimal"/>
          <w:cols w:space="720" w:num="1"/>
          <w:formProt w:val="0"/>
          <w:docGrid w:linePitch="290" w:charSpace="-4097"/>
        </w:sectPr>
      </w:pPr>
      <w:r>
        <w:rPr>
          <w:rFonts w:ascii="宋体" w:hAnsi="宋体" w:eastAsia="宋体" w:cs="宋体"/>
          <w:color w:val="000000"/>
          <w:sz w:val="24"/>
          <w:szCs w:val="24"/>
          <w:highlight w:val="none"/>
        </w:rPr>
        <w:t>详见第六部分投标档附件格式1—13，其余未尽事宜请按各单位习惯制定即可。</w:t>
      </w:r>
      <w:bookmarkStart w:id="36" w:name="OLE_LINK30"/>
      <w:bookmarkEnd w:id="36"/>
      <w:bookmarkStart w:id="37" w:name="OLE_LINK31"/>
      <w:bookmarkEnd w:id="37"/>
    </w:p>
    <w:p>
      <w:pPr>
        <w:keepNext/>
        <w:keepLines/>
        <w:numPr>
          <w:ilvl w:val="0"/>
          <w:numId w:val="0"/>
        </w:numPr>
        <w:jc w:val="center"/>
        <w:outlineLvl w:val="0"/>
        <w:rPr>
          <w:rFonts w:ascii="Calibri" w:hAnsi="Calibri" w:eastAsia="宋体" w:cs="Times New Roman"/>
          <w:b/>
          <w:bCs/>
          <w:kern w:val="2"/>
          <w:sz w:val="36"/>
          <w:szCs w:val="44"/>
          <w:highlight w:val="none"/>
        </w:rPr>
      </w:pPr>
      <w:bookmarkStart w:id="38" w:name="_Toc21132"/>
      <w:bookmarkStart w:id="39" w:name="_Toc169605877"/>
      <w:r>
        <w:rPr>
          <w:rFonts w:ascii="Calibri" w:hAnsi="Calibri" w:eastAsia="宋体" w:cs="Times New Roman"/>
          <w:b/>
          <w:bCs/>
          <w:kern w:val="2"/>
          <w:sz w:val="36"/>
          <w:szCs w:val="44"/>
          <w:highlight w:val="none"/>
        </w:rPr>
        <w:t>第四部分 技术标书</w:t>
      </w:r>
      <w:bookmarkEnd w:id="38"/>
    </w:p>
    <w:p>
      <w:pPr>
        <w:pStyle w:val="2"/>
        <w:jc w:val="center"/>
        <w:rPr>
          <w:rFonts w:hint="eastAsia" w:ascii="Calibri" w:hAnsi="宋体" w:eastAsia="宋体" w:cs="Times New Roman"/>
          <w:b/>
          <w:bCs/>
          <w:color w:val="000000"/>
          <w:spacing w:val="-8"/>
          <w:sz w:val="52"/>
          <w:szCs w:val="52"/>
          <w:highlight w:val="none"/>
        </w:rPr>
      </w:pPr>
    </w:p>
    <w:p>
      <w:pPr>
        <w:keepNext/>
        <w:keepLines/>
        <w:spacing w:before="120" w:after="120" w:line="480" w:lineRule="exact"/>
        <w:jc w:val="center"/>
        <w:outlineLvl w:val="1"/>
        <w:rPr>
          <w:rFonts w:ascii="宋体" w:hAnsi="Calibri" w:eastAsia="宋体" w:cs="Times New Roman"/>
          <w:b/>
          <w:bCs/>
          <w:kern w:val="44"/>
          <w:sz w:val="28"/>
          <w:szCs w:val="28"/>
          <w:highlight w:val="none"/>
        </w:rPr>
      </w:pPr>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pPr>
        <w:keepNext/>
        <w:keepLines/>
        <w:spacing w:before="120" w:after="120" w:line="480" w:lineRule="exact"/>
        <w:jc w:val="center"/>
        <w:outlineLvl w:val="2"/>
        <w:rPr>
          <w:rFonts w:hint="eastAsia" w:ascii="黑体" w:hAnsi="黑体" w:eastAsia="黑体" w:cs="黑体"/>
          <w:b w:val="0"/>
          <w:bCs w:val="0"/>
          <w:sz w:val="24"/>
          <w:szCs w:val="24"/>
          <w:highlight w:val="none"/>
        </w:rPr>
      </w:pPr>
      <w:r>
        <w:rPr>
          <w:rFonts w:hint="eastAsia" w:ascii="黑体" w:hAnsi="黑体" w:eastAsia="宋体" w:cs="黑体"/>
          <w:b w:val="0"/>
          <w:bCs w:val="0"/>
          <w:sz w:val="24"/>
          <w:szCs w:val="24"/>
          <w:highlight w:val="none"/>
        </w:rPr>
        <w:t>第一节  使用环境</w:t>
      </w:r>
    </w:p>
    <w:p>
      <w:pPr>
        <w:spacing w:line="480" w:lineRule="exact"/>
        <w:ind w:firstLine="480" w:firstLineChars="200"/>
        <w:rPr>
          <w:rFonts w:hint="eastAsia" w:ascii="黑体" w:hAnsi="宋体" w:eastAsia="宋体" w:cs="Times New Roman"/>
          <w:sz w:val="24"/>
          <w:szCs w:val="24"/>
          <w:highlight w:val="none"/>
          <w:u w:val="single"/>
          <w:shd w:val="pct10" w:color="auto" w:fill="FFFFFF"/>
          <w:lang w:val="en-US" w:eastAsia="zh-CN"/>
        </w:rPr>
      </w:pPr>
      <w:r>
        <w:rPr>
          <w:rFonts w:hint="eastAsia" w:ascii="黑体" w:hAnsi="宋体" w:eastAsia="宋体" w:cs="Times New Roman"/>
          <w:sz w:val="24"/>
          <w:szCs w:val="24"/>
          <w:highlight w:val="none"/>
        </w:rPr>
        <w:t>一、项目名称：</w:t>
      </w:r>
      <w:r>
        <w:rPr>
          <w:rFonts w:hint="eastAsia" w:ascii="宋体" w:hAnsi="宋体" w:eastAsia="宋体" w:cs="宋体"/>
          <w:sz w:val="24"/>
          <w:szCs w:val="24"/>
          <w:highlight w:val="none"/>
          <w:u w:val="single"/>
          <w:lang w:eastAsia="zh-CN"/>
        </w:rPr>
        <w:t>曲轴磨床增加共振点补偿功能项目</w:t>
      </w:r>
    </w:p>
    <w:p>
      <w:pPr>
        <w:spacing w:line="480" w:lineRule="exact"/>
        <w:ind w:firstLine="480" w:firstLineChars="200"/>
        <w:rPr>
          <w:rFonts w:hint="default" w:ascii="宋体" w:hAnsi="宋体" w:eastAsia="宋体" w:cs="Times New Roman"/>
          <w:sz w:val="24"/>
          <w:szCs w:val="24"/>
          <w:highlight w:val="none"/>
          <w:lang w:val="en-US" w:eastAsia="zh-CN"/>
        </w:rPr>
      </w:pPr>
      <w:r>
        <w:rPr>
          <w:rFonts w:hint="eastAsia" w:ascii="黑体" w:hAnsi="宋体" w:eastAsia="宋体" w:cs="Times New Roman"/>
          <w:sz w:val="24"/>
          <w:szCs w:val="24"/>
          <w:highlight w:val="none"/>
        </w:rPr>
        <w:t>二、建设地点：</w:t>
      </w:r>
      <w:r>
        <w:rPr>
          <w:rFonts w:hint="eastAsia" w:ascii="宋体" w:hAnsi="宋体" w:eastAsia="宋体" w:cs="Times New Roman"/>
          <w:sz w:val="24"/>
          <w:szCs w:val="24"/>
          <w:highlight w:val="none"/>
          <w:u w:val="single"/>
        </w:rPr>
        <w:t>章丘市圣井镇重汽工业园</w:t>
      </w:r>
      <w:r>
        <w:rPr>
          <w:rFonts w:hint="eastAsia" w:ascii="宋体" w:hAnsi="宋体" w:eastAsia="宋体" w:cs="Times New Roman"/>
          <w:sz w:val="24"/>
          <w:szCs w:val="24"/>
          <w:highlight w:val="none"/>
          <w:u w:val="single"/>
          <w:lang w:val="en-US" w:eastAsia="zh-CN"/>
        </w:rPr>
        <w:t>2号门</w:t>
      </w:r>
    </w:p>
    <w:p>
      <w:pPr>
        <w:spacing w:line="480" w:lineRule="exact"/>
        <w:ind w:firstLine="480" w:firstLineChars="200"/>
        <w:rPr>
          <w:rFonts w:hint="eastAsia" w:ascii="宋体" w:hAnsi="宋体" w:eastAsia="宋体" w:cs="Times New Roman"/>
          <w:sz w:val="24"/>
          <w:szCs w:val="24"/>
          <w:highlight w:val="none"/>
          <w:u w:val="single"/>
        </w:rPr>
      </w:pPr>
      <w:r>
        <w:rPr>
          <w:rFonts w:hint="eastAsia" w:ascii="黑体" w:hAnsi="宋体" w:eastAsia="宋体" w:cs="Times New Roman"/>
          <w:sz w:val="24"/>
          <w:szCs w:val="24"/>
          <w:highlight w:val="none"/>
        </w:rPr>
        <w:t>三、使用地点：</w:t>
      </w:r>
      <w:r>
        <w:rPr>
          <w:rFonts w:hint="eastAsia" w:ascii="宋体" w:hAnsi="宋体" w:eastAsia="宋体" w:cs="Times New Roman"/>
          <w:sz w:val="24"/>
          <w:szCs w:val="24"/>
          <w:highlight w:val="none"/>
          <w:u w:val="single"/>
        </w:rPr>
        <w:t>中国重汽集团济南发动机厂机</w:t>
      </w:r>
      <w:r>
        <w:rPr>
          <w:rFonts w:hint="eastAsia" w:ascii="宋体" w:hAnsi="宋体" w:eastAsia="宋体" w:cs="Times New Roman"/>
          <w:sz w:val="24"/>
          <w:szCs w:val="24"/>
          <w:highlight w:val="none"/>
          <w:u w:val="single"/>
          <w:lang w:val="en-US" w:eastAsia="zh-CN"/>
        </w:rPr>
        <w:t>部件</w:t>
      </w:r>
      <w:r>
        <w:rPr>
          <w:rFonts w:hint="eastAsia" w:ascii="宋体" w:hAnsi="宋体" w:eastAsia="宋体" w:cs="Times New Roman"/>
          <w:sz w:val="24"/>
          <w:szCs w:val="24"/>
          <w:highlight w:val="none"/>
          <w:u w:val="single"/>
        </w:rPr>
        <w:t>线</w:t>
      </w:r>
    </w:p>
    <w:p>
      <w:pPr>
        <w:spacing w:line="480" w:lineRule="exact"/>
        <w:ind w:firstLine="480" w:firstLineChars="200"/>
        <w:rPr>
          <w:rFonts w:ascii="宋体" w:hAnsi="宋体" w:eastAsia="宋体" w:cs="Times New Roman"/>
          <w:sz w:val="24"/>
          <w:szCs w:val="24"/>
          <w:highlight w:val="none"/>
        </w:rPr>
      </w:pPr>
      <w:r>
        <w:rPr>
          <w:rFonts w:hint="eastAsia" w:ascii="黑体" w:hAnsi="宋体" w:eastAsia="宋体" w:cs="Times New Roman"/>
          <w:sz w:val="24"/>
          <w:szCs w:val="24"/>
          <w:highlight w:val="none"/>
        </w:rPr>
        <w:t>四、工作制度：</w:t>
      </w:r>
      <w:r>
        <w:rPr>
          <w:rFonts w:hint="eastAsia" w:ascii="宋体" w:hAnsi="宋体" w:eastAsia="宋体" w:cs="Times New Roman"/>
          <w:sz w:val="24"/>
          <w:szCs w:val="24"/>
          <w:highlight w:val="none"/>
        </w:rPr>
        <w:t>全年工作250天、</w:t>
      </w:r>
      <w:r>
        <w:rPr>
          <w:rFonts w:hint="eastAsia" w:ascii="宋体" w:hAnsi="宋体" w:eastAsia="宋体" w:cs="Times New Roman"/>
          <w:sz w:val="24"/>
          <w:szCs w:val="24"/>
          <w:highlight w:val="none"/>
          <w:u w:val="single"/>
        </w:rPr>
        <w:t xml:space="preserve"> 3 </w:t>
      </w:r>
      <w:r>
        <w:rPr>
          <w:rFonts w:hint="eastAsia" w:ascii="宋体" w:hAnsi="宋体" w:eastAsia="宋体" w:cs="Times New Roman"/>
          <w:sz w:val="24"/>
          <w:szCs w:val="24"/>
          <w:highlight w:val="none"/>
        </w:rPr>
        <w:t>班制、设备年时基数</w:t>
      </w:r>
      <w:r>
        <w:rPr>
          <w:rFonts w:hint="eastAsia" w:ascii="宋体" w:hAnsi="宋体" w:eastAsia="宋体" w:cs="Times New Roman"/>
          <w:sz w:val="24"/>
          <w:szCs w:val="24"/>
          <w:highlight w:val="none"/>
          <w:u w:val="single"/>
        </w:rPr>
        <w:t xml:space="preserve"> 5000 </w:t>
      </w:r>
      <w:r>
        <w:rPr>
          <w:rFonts w:hint="eastAsia" w:ascii="宋体" w:hAnsi="宋体" w:eastAsia="宋体" w:cs="Times New Roman"/>
          <w:sz w:val="24"/>
          <w:szCs w:val="24"/>
          <w:highlight w:val="none"/>
        </w:rPr>
        <w:t>小时</w:t>
      </w:r>
    </w:p>
    <w:p>
      <w:pPr>
        <w:spacing w:line="480" w:lineRule="exact"/>
        <w:ind w:firstLine="480" w:firstLineChars="200"/>
        <w:rPr>
          <w:rFonts w:ascii="黑体" w:hAnsi="宋体" w:eastAsia="黑体" w:cs="Times New Roman"/>
          <w:sz w:val="24"/>
          <w:szCs w:val="24"/>
          <w:highlight w:val="none"/>
        </w:rPr>
      </w:pPr>
      <w:r>
        <w:rPr>
          <w:rFonts w:hint="eastAsia" w:ascii="黑体" w:hAnsi="宋体" w:eastAsia="宋体" w:cs="Times New Roman"/>
          <w:sz w:val="24"/>
          <w:szCs w:val="24"/>
          <w:highlight w:val="none"/>
        </w:rPr>
        <w:t>五、使用地点区域自然环境：</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1、海拨高度：1000m以下</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2、环境温度：室外极端最低温度-19.7℃、极端最高温度42℃，昼夜最大温差25℃；室内温度5～40℃。</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3、相对湿度：年平均59%，最大95%、最小15%。</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4、降雨量：日最大降雨量300mm、时最大降雨量100mm。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5、最大风速：33.3m/s。</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6、最大积雪厚度：200mm。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7、最大冻土深度：450mm。</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8、地震设防裂度：七度。</w:t>
      </w:r>
    </w:p>
    <w:p>
      <w:pPr>
        <w:spacing w:line="480" w:lineRule="exact"/>
        <w:ind w:firstLine="480" w:firstLineChars="200"/>
        <w:rPr>
          <w:rFonts w:ascii="宋体" w:hAnsi="宋体" w:eastAsia="宋体" w:cs="Times New Roman"/>
          <w:sz w:val="24"/>
          <w:szCs w:val="24"/>
          <w:highlight w:val="none"/>
        </w:rPr>
      </w:pPr>
      <w:r>
        <w:rPr>
          <w:rFonts w:hint="eastAsia" w:ascii="黑体" w:hAnsi="宋体" w:eastAsia="宋体" w:cs="Times New Roman"/>
          <w:sz w:val="24"/>
          <w:szCs w:val="24"/>
          <w:highlight w:val="none"/>
        </w:rPr>
        <w:t>六、能源环境：</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1、电力：中国制式，供电电压</w:t>
      </w:r>
      <w:r>
        <w:rPr>
          <w:rFonts w:ascii="宋体" w:hAnsi="宋体" w:eastAsia="宋体" w:cs="Times New Roman"/>
          <w:sz w:val="24"/>
          <w:szCs w:val="24"/>
          <w:highlight w:val="none"/>
        </w:rPr>
        <w:t>380V</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1</w:t>
      </w:r>
      <w:r>
        <w:rPr>
          <w:rFonts w:hint="eastAsia" w:ascii="宋体" w:hAnsi="宋体" w:eastAsia="宋体" w:cs="Times New Roman"/>
          <w:sz w:val="24"/>
          <w:szCs w:val="24"/>
          <w:highlight w:val="none"/>
        </w:rPr>
        <w:t>5</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/220V±</w:t>
      </w:r>
      <w:r>
        <w:rPr>
          <w:rFonts w:ascii="宋体" w:hAnsi="宋体" w:eastAsia="宋体" w:cs="Times New Roman"/>
          <w:sz w:val="24"/>
          <w:szCs w:val="24"/>
          <w:highlight w:val="none"/>
        </w:rPr>
        <w:t>1</w:t>
      </w:r>
      <w:r>
        <w:rPr>
          <w:rFonts w:hint="eastAsia" w:ascii="宋体" w:hAnsi="宋体" w:eastAsia="宋体" w:cs="Times New Roman"/>
          <w:sz w:val="24"/>
          <w:szCs w:val="24"/>
          <w:highlight w:val="none"/>
        </w:rPr>
        <w:t>5</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，供电频率</w:t>
      </w:r>
      <w:r>
        <w:rPr>
          <w:rFonts w:ascii="宋体" w:hAnsi="宋体" w:eastAsia="宋体" w:cs="Times New Roman"/>
          <w:sz w:val="24"/>
          <w:szCs w:val="24"/>
          <w:highlight w:val="none"/>
        </w:rPr>
        <w:t>50Hz</w:t>
      </w:r>
      <w:r>
        <w:rPr>
          <w:rFonts w:hint="eastAsia" w:ascii="宋体" w:hAnsi="宋体" w:eastAsia="宋体" w:cs="Times New Roman"/>
          <w:sz w:val="24"/>
          <w:szCs w:val="24"/>
          <w:highlight w:val="none"/>
        </w:rPr>
        <w:t>±</w:t>
      </w:r>
      <w:r>
        <w:rPr>
          <w:rFonts w:ascii="宋体" w:hAnsi="宋体" w:eastAsia="宋体" w:cs="Times New Roman"/>
          <w:sz w:val="24"/>
          <w:szCs w:val="24"/>
          <w:highlight w:val="none"/>
        </w:rPr>
        <w:t>2%</w:t>
      </w:r>
      <w:r>
        <w:rPr>
          <w:rFonts w:hint="eastAsia" w:ascii="宋体" w:hAnsi="宋体" w:eastAsia="宋体" w:cs="Times New Roman"/>
          <w:sz w:val="24"/>
          <w:szCs w:val="24"/>
          <w:highlight w:val="none"/>
        </w:rPr>
        <w:t>。</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2、压缩空气：自备空压机自产压缩空气，</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4～0.6</w:t>
      </w:r>
      <w:r>
        <w:rPr>
          <w:rFonts w:ascii="宋体" w:hAnsi="宋体" w:eastAsia="宋体" w:cs="Times New Roman"/>
          <w:sz w:val="24"/>
          <w:szCs w:val="24"/>
          <w:highlight w:val="none"/>
        </w:rPr>
        <w:t>M</w:t>
      </w:r>
      <w:r>
        <w:rPr>
          <w:rFonts w:hint="eastAsia" w:ascii="宋体" w:hAnsi="宋体" w:eastAsia="宋体" w:cs="Times New Roman"/>
          <w:sz w:val="24"/>
          <w:szCs w:val="24"/>
          <w:highlight w:val="none"/>
        </w:rPr>
        <w:t>P</w:t>
      </w:r>
      <w:r>
        <w:rPr>
          <w:rFonts w:ascii="宋体" w:hAnsi="宋体" w:eastAsia="宋体" w:cs="Times New Roman"/>
          <w:sz w:val="24"/>
          <w:szCs w:val="24"/>
          <w:highlight w:val="none"/>
        </w:rPr>
        <w:t>a</w:t>
      </w:r>
      <w:r>
        <w:rPr>
          <w:rFonts w:hint="eastAsia" w:ascii="宋体" w:hAnsi="宋体" w:eastAsia="宋体" w:cs="Times New Roman"/>
          <w:sz w:val="24"/>
          <w:szCs w:val="24"/>
          <w:highlight w:val="none"/>
        </w:rPr>
        <w:t>。</w:t>
      </w:r>
    </w:p>
    <w:p>
      <w:pPr>
        <w:spacing w:line="480" w:lineRule="exact"/>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3、给水：市政自来水或软化水，0.2-0.4MPa</w:t>
      </w:r>
    </w:p>
    <w:p>
      <w:pPr>
        <w:spacing w:line="48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4、</w:t>
      </w:r>
      <w:r>
        <w:rPr>
          <w:rFonts w:hint="eastAsia" w:ascii="宋体" w:hAnsi="宋体" w:eastAsia="宋体" w:cs="Times New Roman"/>
          <w:sz w:val="24"/>
          <w:szCs w:val="24"/>
          <w:highlight w:val="none"/>
        </w:rPr>
        <w:t>工位照度：不低于500Lx。</w:t>
      </w: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pStyle w:val="2"/>
        <w:rPr>
          <w:rFonts w:hAnsi="宋体" w:eastAsia="宋体" w:cs="Times New Roman"/>
          <w:sz w:val="24"/>
          <w:szCs w:val="24"/>
          <w:highlight w:val="none"/>
        </w:rPr>
      </w:pPr>
    </w:p>
    <w:p>
      <w:pPr>
        <w:keepNext/>
        <w:keepLines/>
        <w:spacing w:before="120" w:after="120" w:line="480" w:lineRule="exact"/>
        <w:jc w:val="center"/>
        <w:outlineLvl w:val="2"/>
        <w:rPr>
          <w:rFonts w:hint="eastAsia" w:ascii="黑体" w:hAnsi="黑体" w:eastAsia="黑体" w:cs="黑体"/>
          <w:b w:val="0"/>
          <w:bCs w:val="0"/>
          <w:sz w:val="24"/>
          <w:szCs w:val="24"/>
          <w:highlight w:val="none"/>
        </w:rPr>
      </w:pPr>
      <w:bookmarkStart w:id="40" w:name="_Toc13018"/>
      <w:bookmarkStart w:id="41" w:name="_Toc19068"/>
      <w:bookmarkStart w:id="42" w:name="_Toc9838"/>
      <w:bookmarkStart w:id="43" w:name="_Toc27088"/>
      <w:bookmarkStart w:id="44" w:name="_Toc137705867"/>
      <w:r>
        <w:rPr>
          <w:rFonts w:hint="eastAsia" w:ascii="黑体" w:hAnsi="黑体" w:eastAsia="宋体" w:cs="黑体"/>
          <w:b w:val="0"/>
          <w:bCs w:val="0"/>
          <w:sz w:val="24"/>
          <w:szCs w:val="24"/>
          <w:highlight w:val="none"/>
        </w:rPr>
        <w:t>第二节  采购货物概况</w:t>
      </w:r>
      <w:bookmarkEnd w:id="40"/>
      <w:bookmarkEnd w:id="41"/>
      <w:bookmarkEnd w:id="42"/>
      <w:bookmarkEnd w:id="43"/>
      <w:bookmarkEnd w:id="44"/>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一、货物（或生产线）名称：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eastAsia="zh-CN"/>
        </w:rPr>
        <w:t>曲轴磨床增加共振点补偿功能</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二、货物（或生产线）数量：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6台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黑体" w:hAnsi="黑体" w:eastAsia="宋体" w:cs="黑体"/>
          <w:b w:val="0"/>
          <w:bCs w:val="0"/>
          <w:sz w:val="24"/>
          <w:szCs w:val="24"/>
          <w:highlight w:val="none"/>
        </w:rPr>
        <w:t>三、分投分中：</w:t>
      </w:r>
      <w:r>
        <w:rPr>
          <w:rFonts w:hint="eastAsia" w:ascii="宋体" w:hAnsi="宋体" w:eastAsia="宋体" w:cs="宋体"/>
          <w:sz w:val="24"/>
          <w:szCs w:val="24"/>
          <w:highlight w:val="none"/>
        </w:rPr>
        <w:t>不允许。</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default" w:eastAsia="宋体"/>
          <w:highlight w:val="none"/>
          <w:lang w:val="en-US" w:eastAsia="zh-CN"/>
        </w:rPr>
      </w:pPr>
      <w:r>
        <w:rPr>
          <w:rFonts w:hint="eastAsia" w:ascii="黑体" w:hAnsi="黑体" w:eastAsia="宋体" w:cs="黑体"/>
          <w:b w:val="0"/>
          <w:bCs w:val="0"/>
          <w:color w:val="auto"/>
          <w:kern w:val="2"/>
          <w:sz w:val="24"/>
          <w:szCs w:val="24"/>
          <w:highlight w:val="none"/>
          <w:lang w:val="en-US" w:eastAsia="zh-CN" w:bidi="ar-SA"/>
        </w:rPr>
        <w:t>四、采购货物（或生产线）主要构成一览表</w:t>
      </w:r>
    </w:p>
    <w:tbl>
      <w:tblPr>
        <w:tblStyle w:val="40"/>
        <w:tblW w:w="52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32"/>
        <w:gridCol w:w="1863"/>
        <w:gridCol w:w="1081"/>
        <w:gridCol w:w="755"/>
        <w:gridCol w:w="802"/>
        <w:gridCol w:w="1712"/>
        <w:gridCol w:w="727"/>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96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名称</w:t>
            </w:r>
          </w:p>
        </w:tc>
        <w:tc>
          <w:tcPr>
            <w:tcW w:w="562" w:type="pct"/>
            <w:vAlign w:val="center"/>
          </w:tcPr>
          <w:p>
            <w:pPr>
              <w:widowControl/>
              <w:jc w:val="center"/>
              <w:rPr>
                <w:rFonts w:hint="default" w:ascii="宋体" w:hAnsi="宋体" w:eastAsia="宋体" w:cs="宋体"/>
                <w:b/>
                <w:bCs/>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型号规格</w:t>
            </w:r>
          </w:p>
        </w:tc>
        <w:tc>
          <w:tcPr>
            <w:tcW w:w="392"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w:t>
            </w:r>
          </w:p>
        </w:tc>
        <w:tc>
          <w:tcPr>
            <w:tcW w:w="417"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数量</w:t>
            </w:r>
          </w:p>
        </w:tc>
        <w:tc>
          <w:tcPr>
            <w:tcW w:w="890"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安装地点/服务对象</w:t>
            </w:r>
          </w:p>
        </w:tc>
        <w:tc>
          <w:tcPr>
            <w:tcW w:w="378" w:type="pct"/>
            <w:vAlign w:val="center"/>
          </w:tcPr>
          <w:p>
            <w:pPr>
              <w:widowControl/>
              <w:jc w:val="center"/>
              <w:rPr>
                <w:rFonts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供货方式</w:t>
            </w:r>
          </w:p>
        </w:tc>
        <w:tc>
          <w:tcPr>
            <w:tcW w:w="1062" w:type="pct"/>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eastAsia="宋体" w:cs="宋体"/>
                <w:b/>
                <w:bCs/>
                <w:color w:val="000000"/>
                <w:kern w:val="0"/>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ascii="宋体" w:hAnsi="宋体" w:eastAsia="宋体" w:cs="Times New Roman"/>
                <w:b/>
                <w:bCs/>
                <w:sz w:val="24"/>
                <w:szCs w:val="24"/>
                <w:highlight w:val="none"/>
              </w:rPr>
            </w:pPr>
            <w:r>
              <w:rPr>
                <w:rFonts w:hint="eastAsia" w:ascii="宋体" w:hAnsi="宋体" w:eastAsia="宋体" w:cs="宋体"/>
                <w:kern w:val="0"/>
                <w:sz w:val="24"/>
                <w:szCs w:val="24"/>
                <w:highlight w:val="none"/>
              </w:rPr>
              <w:t>1</w:t>
            </w:r>
          </w:p>
        </w:tc>
        <w:tc>
          <w:tcPr>
            <w:tcW w:w="968" w:type="pct"/>
            <w:vMerge w:val="restart"/>
            <w:vAlign w:val="center"/>
          </w:tcPr>
          <w:p>
            <w:pPr>
              <w:pStyle w:val="2"/>
              <w:rPr>
                <w:rFonts w:hint="default" w:ascii="宋体" w:hAnsi="宋体" w:eastAsia="宋体" w:cs="Times New Roman"/>
                <w:b/>
                <w:bCs/>
                <w:sz w:val="24"/>
                <w:szCs w:val="24"/>
                <w:highlight w:val="none"/>
                <w:lang w:val="en-US" w:eastAsia="zh-CN"/>
              </w:rPr>
            </w:pPr>
            <w:r>
              <w:rPr>
                <w:rFonts w:hint="eastAsia" w:ascii="宋体" w:hAnsi="宋体" w:eastAsia="宋体" w:cs="宋体"/>
                <w:sz w:val="24"/>
                <w:szCs w:val="24"/>
                <w:highlight w:val="none"/>
                <w:lang w:eastAsia="zh-CN"/>
              </w:rPr>
              <w:t>曲轴磨床增加共振点补偿功能</w:t>
            </w:r>
          </w:p>
        </w:tc>
        <w:tc>
          <w:tcPr>
            <w:tcW w:w="562" w:type="pct"/>
            <w:vAlign w:val="center"/>
          </w:tcPr>
          <w:p>
            <w:pPr>
              <w:widowControl/>
              <w:jc w:val="center"/>
              <w:rPr>
                <w:rFonts w:hint="default" w:ascii="宋体" w:hAnsi="宋体" w:eastAsia="宋体" w:cs="宋体"/>
                <w:kern w:val="0"/>
                <w:sz w:val="24"/>
                <w:szCs w:val="24"/>
                <w:highlight w:val="none"/>
                <w:lang w:val="en-US" w:eastAsia="zh-CN"/>
              </w:rPr>
            </w:pPr>
            <w:r>
              <w:rPr>
                <w:rFonts w:hint="eastAsia" w:ascii="宋体" w:hAnsi="宋体" w:eastAsia="宋体" w:cs="宋体"/>
                <w:color w:val="auto"/>
                <w:highlight w:val="none"/>
              </w:rPr>
              <w:t>JUNKER</w:t>
            </w:r>
          </w:p>
        </w:tc>
        <w:tc>
          <w:tcPr>
            <w:tcW w:w="392" w:type="pct"/>
            <w:vAlign w:val="center"/>
          </w:tcPr>
          <w:p>
            <w:pPr>
              <w:widowControl/>
              <w:jc w:val="center"/>
              <w:rPr>
                <w:rFonts w:hint="eastAsia" w:ascii="宋体" w:hAnsi="宋体" w:eastAsia="宋体" w:cs="Times New Roman"/>
                <w:b/>
                <w:bCs/>
                <w:sz w:val="24"/>
                <w:szCs w:val="24"/>
                <w:highlight w:val="none"/>
                <w:lang w:eastAsia="zh-CN"/>
              </w:rPr>
            </w:pPr>
            <w:r>
              <w:rPr>
                <w:rFonts w:hint="eastAsia" w:ascii="宋体" w:hAnsi="宋体" w:eastAsia="宋体" w:cs="宋体"/>
                <w:kern w:val="0"/>
                <w:sz w:val="24"/>
                <w:szCs w:val="24"/>
                <w:highlight w:val="none"/>
                <w:lang w:val="en-US" w:eastAsia="zh-CN"/>
              </w:rPr>
              <w:t>台</w:t>
            </w:r>
          </w:p>
        </w:tc>
        <w:tc>
          <w:tcPr>
            <w:tcW w:w="417" w:type="pct"/>
            <w:vAlign w:val="center"/>
          </w:tcPr>
          <w:p>
            <w:pPr>
              <w:widowControl/>
              <w:jc w:val="center"/>
              <w:rPr>
                <w:rFonts w:ascii="宋体" w:hAnsi="宋体" w:eastAsia="宋体" w:cs="Times New Roman"/>
                <w:b w:val="0"/>
                <w:bCs w:val="0"/>
                <w:sz w:val="24"/>
                <w:szCs w:val="24"/>
                <w:highlight w:val="none"/>
              </w:rPr>
            </w:pPr>
            <w:r>
              <w:rPr>
                <w:rFonts w:hint="eastAsia" w:ascii="宋体" w:hAnsi="宋体" w:eastAsia="宋体" w:cs="宋体"/>
                <w:b w:val="0"/>
                <w:bCs w:val="0"/>
                <w:kern w:val="0"/>
                <w:sz w:val="24"/>
                <w:szCs w:val="24"/>
                <w:highlight w:val="none"/>
              </w:rPr>
              <w:t>1</w:t>
            </w:r>
          </w:p>
        </w:tc>
        <w:tc>
          <w:tcPr>
            <w:tcW w:w="890"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济南发动机厂</w:t>
            </w:r>
          </w:p>
        </w:tc>
        <w:tc>
          <w:tcPr>
            <w:tcW w:w="378" w:type="pct"/>
            <w:vAlign w:val="center"/>
          </w:tcPr>
          <w:p>
            <w:pPr>
              <w:widowControl/>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交钥匙</w:t>
            </w:r>
          </w:p>
        </w:tc>
        <w:tc>
          <w:tcPr>
            <w:tcW w:w="10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本项为交钥匙工程，包含卖方调试。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24" w:hRule="atLeast"/>
          <w:jc w:val="center"/>
        </w:trPr>
        <w:tc>
          <w:tcPr>
            <w:tcW w:w="328"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968" w:type="pct"/>
            <w:vMerge w:val="continue"/>
            <w:vAlign w:val="center"/>
          </w:tcPr>
          <w:p>
            <w:pPr>
              <w:pStyle w:val="2"/>
              <w:rPr>
                <w:rFonts w:hint="eastAsia" w:ascii="宋体" w:hAnsi="宋体" w:eastAsia="宋体" w:cs="宋体"/>
                <w:sz w:val="24"/>
                <w:szCs w:val="24"/>
                <w:highlight w:val="none"/>
                <w:lang w:eastAsia="zh-CN"/>
              </w:rPr>
            </w:pPr>
          </w:p>
        </w:tc>
        <w:tc>
          <w:tcPr>
            <w:tcW w:w="5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color w:val="auto"/>
                <w:highlight w:val="none"/>
              </w:rPr>
              <w:t>JUNKER</w:t>
            </w:r>
          </w:p>
        </w:tc>
        <w:tc>
          <w:tcPr>
            <w:tcW w:w="392" w:type="pct"/>
            <w:vAlign w:val="center"/>
          </w:tcPr>
          <w:p>
            <w:pPr>
              <w:widowControl/>
              <w:jc w:val="center"/>
              <w:rPr>
                <w:rFonts w:hint="eastAsia" w:ascii="宋体" w:hAnsi="宋体" w:eastAsia="宋体" w:cs="Times New Roman"/>
                <w:b/>
                <w:bCs/>
                <w:color w:val="auto"/>
                <w:kern w:val="2"/>
                <w:sz w:val="24"/>
                <w:szCs w:val="24"/>
                <w:highlight w:val="none"/>
                <w:lang w:val="en-US" w:eastAsia="zh-CN" w:bidi="ar-SA"/>
              </w:rPr>
            </w:pPr>
            <w:r>
              <w:rPr>
                <w:rFonts w:hint="eastAsia" w:ascii="宋体" w:hAnsi="宋体" w:eastAsia="宋体" w:cs="宋体"/>
                <w:kern w:val="0"/>
                <w:sz w:val="24"/>
                <w:szCs w:val="24"/>
                <w:highlight w:val="none"/>
                <w:lang w:val="en-US" w:eastAsia="zh-CN"/>
              </w:rPr>
              <w:t>台</w:t>
            </w:r>
          </w:p>
        </w:tc>
        <w:tc>
          <w:tcPr>
            <w:tcW w:w="417" w:type="pct"/>
            <w:vAlign w:val="center"/>
          </w:tcPr>
          <w:p>
            <w:pPr>
              <w:widowControl/>
              <w:jc w:val="center"/>
              <w:rPr>
                <w:rFonts w:hint="default" w:ascii="宋体" w:hAnsi="宋体" w:eastAsia="宋体" w:cs="Times New Roman"/>
                <w:b w:val="0"/>
                <w:bCs w:val="0"/>
                <w:color w:val="auto"/>
                <w:kern w:val="2"/>
                <w:sz w:val="24"/>
                <w:szCs w:val="24"/>
                <w:highlight w:val="none"/>
                <w:lang w:val="en-US" w:eastAsia="zh-CN" w:bidi="ar-SA"/>
              </w:rPr>
            </w:pPr>
            <w:r>
              <w:rPr>
                <w:rFonts w:hint="eastAsia" w:ascii="宋体" w:hAnsi="宋体" w:eastAsia="宋体" w:cs="Times New Roman"/>
                <w:b w:val="0"/>
                <w:bCs w:val="0"/>
                <w:color w:val="auto"/>
                <w:kern w:val="2"/>
                <w:sz w:val="24"/>
                <w:szCs w:val="24"/>
                <w:highlight w:val="none"/>
                <w:lang w:val="en-US" w:eastAsia="zh-CN" w:bidi="ar-SA"/>
              </w:rPr>
              <w:t>5</w:t>
            </w:r>
          </w:p>
        </w:tc>
        <w:tc>
          <w:tcPr>
            <w:tcW w:w="890"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济南发动机厂</w:t>
            </w:r>
          </w:p>
        </w:tc>
        <w:tc>
          <w:tcPr>
            <w:tcW w:w="378"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按需供货</w:t>
            </w:r>
          </w:p>
        </w:tc>
        <w:tc>
          <w:tcPr>
            <w:tcW w:w="1062" w:type="pct"/>
            <w:vAlign w:val="center"/>
          </w:tcPr>
          <w:p>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本项不包含卖方调试。</w:t>
            </w:r>
          </w:p>
        </w:tc>
      </w:tr>
    </w:tbl>
    <w:p>
      <w:pPr>
        <w:keepNext w:val="0"/>
        <w:keepLines w:val="0"/>
        <w:pageBreakBefore w:val="0"/>
        <w:widowControl w:val="0"/>
        <w:kinsoku/>
        <w:wordWrap/>
        <w:overflowPunct w:val="0"/>
        <w:topLinePunct w:val="0"/>
        <w:autoSpaceDE/>
        <w:autoSpaceDN/>
        <w:bidi w:val="0"/>
        <w:adjustRightInd/>
        <w:snapToGrid/>
        <w:spacing w:line="360" w:lineRule="auto"/>
        <w:textAlignment w:val="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备注：</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1</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本表所列采购货物仅为货物的主要构成部分，应配套供货以及招标人所列其他货物（或设备）和服务，请投标人认真阅读“供货范围”。若有异议，不管是多么微小，都应在投标档“商务偏离”章节中予以详细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ascii="宋体" w:hAnsi="宋体" w:eastAsia="宋体" w:cs="宋体"/>
          <w:bCs/>
          <w:sz w:val="24"/>
          <w:szCs w:val="24"/>
          <w:highlight w:val="none"/>
        </w:rPr>
      </w:pPr>
      <w:r>
        <w:rPr>
          <w:rFonts w:hint="eastAsia" w:ascii="宋体" w:hAnsi="宋体" w:eastAsia="宋体" w:cs="宋体"/>
          <w:bCs/>
          <w:sz w:val="24"/>
          <w:szCs w:val="24"/>
          <w:highlight w:val="none"/>
        </w:rPr>
        <w:t>2、本表“供货方式”指：交钥匙方式——包括制造、运输、定点卸货、安装、调试和协助验收以及约定培训等。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highlight w:val="none"/>
        </w:rPr>
      </w:pPr>
      <w:r>
        <w:rPr>
          <w:rFonts w:hint="eastAsia" w:ascii="宋体" w:hAnsi="宋体" w:eastAsia="宋体" w:cs="宋体"/>
          <w:bCs/>
          <w:sz w:val="24"/>
          <w:szCs w:val="24"/>
          <w:highlight w:val="none"/>
          <w:lang w:val="en-US" w:eastAsia="zh-CN"/>
        </w:rPr>
        <w:t>3、以上内容仅对设备的基本功能进行了描述和建议，表中所列内容仅供参考，投标方投标前需对生产现场工艺环境进行充分调研与了解，确保投标方案满足工艺、产品、节拍、功能等要求，投标方对投标方案负责。</w:t>
      </w:r>
      <w:r>
        <w:rPr>
          <w:highlight w:val="none"/>
        </w:rPr>
        <w:br w:type="page"/>
      </w:r>
    </w:p>
    <w:p>
      <w:pPr>
        <w:keepNext/>
        <w:keepLines/>
        <w:spacing w:before="120" w:after="120" w:line="480" w:lineRule="exact"/>
        <w:jc w:val="center"/>
        <w:outlineLvl w:val="1"/>
        <w:rPr>
          <w:rFonts w:ascii="宋体" w:hAnsi="Calibri" w:eastAsia="宋体" w:cs="Times New Roman"/>
          <w:bCs/>
          <w:kern w:val="44"/>
          <w:sz w:val="28"/>
          <w:szCs w:val="28"/>
          <w:highlight w:val="none"/>
        </w:rPr>
      </w:pPr>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p>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both"/>
        <w:textAlignment w:val="auto"/>
        <w:outlineLvl w:val="2"/>
        <w:rPr>
          <w:rFonts w:hint="default" w:ascii="黑体" w:hAnsi="黑体" w:eastAsia="黑体" w:cs="黑体"/>
          <w:b/>
          <w:bCs w:val="0"/>
          <w:color w:val="auto"/>
          <w:sz w:val="24"/>
          <w:szCs w:val="24"/>
          <w:highlight w:val="none"/>
          <w:lang w:val="en-US" w:eastAsia="zh-CN"/>
        </w:rPr>
      </w:pPr>
      <w:r>
        <w:rPr>
          <w:rFonts w:hint="eastAsia" w:ascii="黑体" w:hAnsi="黑体" w:eastAsia="黑体" w:cs="黑体"/>
          <w:b/>
          <w:bCs w:val="0"/>
          <w:sz w:val="24"/>
          <w:szCs w:val="24"/>
          <w:highlight w:val="none"/>
          <w:lang w:val="en-US" w:eastAsia="zh-CN"/>
        </w:rPr>
        <w:t>一</w:t>
      </w:r>
      <w:r>
        <w:rPr>
          <w:rFonts w:hint="eastAsia" w:ascii="黑体" w:hAnsi="黑体" w:eastAsia="黑体" w:cs="黑体"/>
          <w:b/>
          <w:bCs w:val="0"/>
          <w:color w:val="auto"/>
          <w:sz w:val="24"/>
          <w:szCs w:val="24"/>
          <w:highlight w:val="none"/>
          <w:lang w:val="en-US" w:eastAsia="zh-CN"/>
        </w:rPr>
        <w:t>、技术状态说明</w:t>
      </w:r>
    </w:p>
    <w:p>
      <w:pPr>
        <w:pStyle w:val="2"/>
        <w:ind w:firstLine="480" w:firstLineChars="200"/>
        <w:rPr>
          <w:rFonts w:hint="eastAsia"/>
          <w:color w:val="auto"/>
          <w:highlight w:val="none"/>
          <w:lang w:val="en-US" w:eastAsia="zh-CN"/>
        </w:rPr>
      </w:pPr>
      <w:r>
        <w:rPr>
          <w:rFonts w:hint="eastAsia" w:ascii="宋体" w:hAnsi="宋体" w:eastAsia="宋体" w:cs="宋体"/>
          <w:color w:val="auto"/>
          <w:sz w:val="24"/>
          <w:szCs w:val="24"/>
          <w:highlight w:val="none"/>
          <w:lang w:val="en-US" w:eastAsia="zh-CN"/>
        </w:rPr>
        <w:t>现有</w:t>
      </w:r>
      <w:r>
        <w:rPr>
          <w:rFonts w:hint="eastAsia" w:eastAsia="宋体" w:cs="宋体"/>
          <w:color w:val="auto"/>
          <w:sz w:val="24"/>
          <w:szCs w:val="24"/>
          <w:highlight w:val="none"/>
          <w:lang w:val="en-US" w:eastAsia="zh-CN"/>
        </w:rPr>
        <w:t>6台JUNKER</w:t>
      </w:r>
      <w:r>
        <w:rPr>
          <w:rFonts w:hint="eastAsia" w:ascii="宋体" w:hAnsi="宋体" w:eastAsia="宋体" w:cs="宋体"/>
          <w:color w:val="auto"/>
          <w:sz w:val="24"/>
          <w:szCs w:val="24"/>
          <w:highlight w:val="none"/>
          <w:lang w:val="en-US" w:eastAsia="zh-CN"/>
        </w:rPr>
        <w:t>磨床</w:t>
      </w:r>
      <w:r>
        <w:rPr>
          <w:rFonts w:hint="eastAsia" w:eastAsia="宋体" w:cs="宋体"/>
          <w:color w:val="auto"/>
          <w:sz w:val="24"/>
          <w:szCs w:val="24"/>
          <w:highlight w:val="none"/>
          <w:lang w:val="en-US" w:eastAsia="zh-CN"/>
        </w:rPr>
        <w:t>不具备共振点补偿功能，</w:t>
      </w:r>
      <w:r>
        <w:rPr>
          <w:rFonts w:hint="eastAsia" w:ascii="宋体" w:hAnsi="宋体" w:eastAsia="宋体" w:cs="宋体"/>
          <w:color w:val="auto"/>
          <w:sz w:val="24"/>
          <w:szCs w:val="24"/>
          <w:highlight w:val="none"/>
          <w:lang w:val="en-US" w:eastAsia="zh-CN"/>
        </w:rPr>
        <w:t>需增加</w:t>
      </w:r>
      <w:r>
        <w:rPr>
          <w:rFonts w:hint="eastAsia" w:eastAsia="宋体" w:cs="宋体"/>
          <w:color w:val="auto"/>
          <w:sz w:val="24"/>
          <w:szCs w:val="24"/>
          <w:highlight w:val="none"/>
          <w:lang w:val="en-US" w:eastAsia="zh-CN"/>
        </w:rPr>
        <w:t>此</w:t>
      </w:r>
      <w:r>
        <w:rPr>
          <w:rFonts w:hint="eastAsia" w:ascii="宋体" w:hAnsi="宋体" w:eastAsia="宋体" w:cs="宋体"/>
          <w:color w:val="auto"/>
          <w:sz w:val="24"/>
          <w:szCs w:val="24"/>
          <w:highlight w:val="none"/>
          <w:lang w:val="en-US" w:eastAsia="zh-CN"/>
        </w:rPr>
        <w:t>功能</w:t>
      </w:r>
      <w:r>
        <w:rPr>
          <w:rFonts w:hint="eastAsia" w:eastAsia="宋体" w:cs="宋体"/>
          <w:color w:val="auto"/>
          <w:sz w:val="24"/>
          <w:szCs w:val="24"/>
          <w:highlight w:val="none"/>
          <w:lang w:val="en-US" w:eastAsia="zh-CN"/>
        </w:rPr>
        <w:t>，提升工件加工质量</w:t>
      </w:r>
      <w:r>
        <w:rPr>
          <w:rFonts w:hint="eastAsia" w:ascii="宋体" w:hAnsi="宋体" w:eastAsia="宋体" w:cs="宋体"/>
          <w:color w:val="auto"/>
          <w:sz w:val="24"/>
          <w:szCs w:val="24"/>
          <w:highlight w:val="none"/>
          <w:lang w:val="en-US" w:eastAsia="zh-CN"/>
        </w:rPr>
        <w:t>。</w:t>
      </w:r>
    </w:p>
    <w:p>
      <w:pPr>
        <w:pStyle w:val="2"/>
        <w:rPr>
          <w:rFonts w:hint="default"/>
          <w:b/>
          <w:bCs/>
          <w:color w:val="auto"/>
          <w:sz w:val="24"/>
          <w:szCs w:val="28"/>
          <w:highlight w:val="none"/>
          <w:lang w:val="en-US" w:eastAsia="zh-CN"/>
        </w:rPr>
      </w:pPr>
      <w:r>
        <w:rPr>
          <w:rFonts w:hint="eastAsia"/>
          <w:b/>
          <w:bCs/>
          <w:color w:val="auto"/>
          <w:sz w:val="24"/>
          <w:szCs w:val="28"/>
          <w:highlight w:val="none"/>
          <w:lang w:val="en-US" w:eastAsia="zh-CN"/>
        </w:rPr>
        <w:t>二、技术要求</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JUNKER</w:t>
      </w:r>
      <w:r>
        <w:rPr>
          <w:rFonts w:hint="eastAsia" w:ascii="宋体" w:hAnsi="宋体" w:eastAsia="宋体" w:cs="宋体"/>
          <w:color w:val="auto"/>
          <w:sz w:val="24"/>
          <w:szCs w:val="24"/>
          <w:highlight w:val="none"/>
          <w:lang w:val="en-US" w:eastAsia="zh-CN"/>
        </w:rPr>
        <w:t>磨床共振点补偿功能软件开发设计，</w:t>
      </w:r>
      <w:r>
        <w:rPr>
          <w:rFonts w:hint="eastAsia" w:eastAsia="宋体" w:cs="宋体"/>
          <w:color w:val="auto"/>
          <w:sz w:val="24"/>
          <w:szCs w:val="24"/>
          <w:highlight w:val="none"/>
          <w:lang w:val="en-US" w:eastAsia="zh-CN"/>
        </w:rPr>
        <w:t>并将补偿程序</w:t>
      </w:r>
      <w:r>
        <w:rPr>
          <w:rFonts w:hint="eastAsia" w:ascii="宋体" w:hAnsi="宋体" w:eastAsia="宋体" w:cs="宋体"/>
          <w:color w:val="auto"/>
          <w:sz w:val="24"/>
          <w:szCs w:val="24"/>
          <w:highlight w:val="none"/>
          <w:lang w:val="en-US" w:eastAsia="zh-CN"/>
        </w:rPr>
        <w:t>界面嵌入到现有</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台</w:t>
      </w:r>
      <w:r>
        <w:rPr>
          <w:rFonts w:hint="eastAsia" w:ascii="宋体" w:hAnsi="宋体" w:eastAsia="宋体" w:cs="宋体"/>
          <w:color w:val="auto"/>
          <w:sz w:val="24"/>
          <w:szCs w:val="24"/>
          <w:highlight w:val="none"/>
        </w:rPr>
        <w:t>JUNKER</w:t>
      </w:r>
      <w:r>
        <w:rPr>
          <w:rFonts w:hint="eastAsia" w:ascii="宋体" w:hAnsi="宋体" w:eastAsia="宋体" w:cs="宋体"/>
          <w:color w:val="auto"/>
          <w:sz w:val="24"/>
          <w:szCs w:val="24"/>
          <w:highlight w:val="none"/>
          <w:lang w:val="en-US" w:eastAsia="zh-CN"/>
        </w:rPr>
        <w:t>磨床操作窗口内，进行功能测试。</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现有</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台JUNKER</w:t>
      </w:r>
      <w:r>
        <w:rPr>
          <w:rFonts w:hint="eastAsia" w:ascii="宋体" w:hAnsi="宋体" w:eastAsia="宋体" w:cs="宋体"/>
          <w:color w:val="auto"/>
          <w:sz w:val="24"/>
          <w:szCs w:val="24"/>
          <w:highlight w:val="none"/>
          <w:lang w:eastAsia="zh-CN"/>
        </w:rPr>
        <w:t>磨床</w:t>
      </w:r>
      <w:r>
        <w:rPr>
          <w:rFonts w:hint="eastAsia" w:ascii="宋体" w:hAnsi="宋体" w:eastAsia="宋体" w:cs="宋体"/>
          <w:color w:val="auto"/>
          <w:sz w:val="24"/>
          <w:szCs w:val="24"/>
          <w:highlight w:val="none"/>
        </w:rPr>
        <w:t>具备</w:t>
      </w:r>
      <w:r>
        <w:rPr>
          <w:rFonts w:hint="eastAsia" w:ascii="宋体" w:hAnsi="宋体" w:eastAsia="宋体" w:cs="宋体"/>
          <w:color w:val="auto"/>
          <w:sz w:val="24"/>
          <w:szCs w:val="24"/>
          <w:highlight w:val="none"/>
          <w:lang w:val="en-US" w:eastAsia="zh-CN"/>
        </w:rPr>
        <w:t>共振点补偿</w:t>
      </w:r>
      <w:r>
        <w:rPr>
          <w:rFonts w:hint="eastAsia" w:eastAsia="宋体" w:cs="宋体"/>
          <w:color w:val="auto"/>
          <w:sz w:val="24"/>
          <w:szCs w:val="24"/>
          <w:highlight w:val="none"/>
          <w:lang w:val="en-US" w:eastAsia="zh-CN"/>
        </w:rPr>
        <w:t>功能</w:t>
      </w:r>
      <w:r>
        <w:rPr>
          <w:rFonts w:hint="eastAsia" w:ascii="宋体" w:hAnsi="宋体" w:eastAsia="宋体" w:cs="宋体"/>
          <w:color w:val="auto"/>
          <w:sz w:val="24"/>
          <w:szCs w:val="24"/>
          <w:highlight w:val="none"/>
          <w:lang w:val="en-US" w:eastAsia="zh-CN"/>
        </w:rPr>
        <w:t>，具备</w:t>
      </w:r>
      <w:r>
        <w:rPr>
          <w:rFonts w:hint="eastAsia" w:eastAsia="宋体" w:cs="宋体"/>
          <w:color w:val="auto"/>
          <w:sz w:val="24"/>
          <w:szCs w:val="24"/>
          <w:highlight w:val="none"/>
          <w:lang w:val="en-US" w:eastAsia="zh-CN"/>
        </w:rPr>
        <w:t>补偿</w:t>
      </w:r>
      <w:r>
        <w:rPr>
          <w:rFonts w:hint="eastAsia" w:ascii="宋体" w:hAnsi="宋体" w:eastAsia="宋体" w:cs="宋体"/>
          <w:color w:val="auto"/>
          <w:sz w:val="24"/>
          <w:szCs w:val="24"/>
          <w:highlight w:val="none"/>
          <w:lang w:val="en-US" w:eastAsia="zh-CN"/>
        </w:rPr>
        <w:t>参数设置调整界面，可通过更改参数实现更改</w:t>
      </w:r>
      <w:r>
        <w:rPr>
          <w:rFonts w:hint="eastAsia" w:eastAsia="宋体" w:cs="宋体"/>
          <w:color w:val="auto"/>
          <w:sz w:val="24"/>
          <w:szCs w:val="24"/>
          <w:highlight w:val="none"/>
          <w:lang w:val="en-US" w:eastAsia="zh-CN"/>
        </w:rPr>
        <w:t>共振点补偿</w:t>
      </w:r>
      <w:r>
        <w:rPr>
          <w:rFonts w:hint="eastAsia" w:ascii="宋体" w:hAnsi="宋体" w:eastAsia="宋体" w:cs="宋体"/>
          <w:color w:val="auto"/>
          <w:sz w:val="24"/>
          <w:szCs w:val="24"/>
          <w:highlight w:val="none"/>
          <w:lang w:val="en-US" w:eastAsia="zh-CN"/>
        </w:rPr>
        <w:t>。</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现有</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台JUNKER</w:t>
      </w:r>
      <w:r>
        <w:rPr>
          <w:rFonts w:hint="eastAsia" w:ascii="宋体" w:hAnsi="宋体" w:eastAsia="宋体" w:cs="宋体"/>
          <w:color w:val="auto"/>
          <w:sz w:val="24"/>
          <w:szCs w:val="24"/>
          <w:highlight w:val="none"/>
          <w:lang w:eastAsia="zh-CN"/>
        </w:rPr>
        <w:t>磨床，</w:t>
      </w:r>
      <w:r>
        <w:rPr>
          <w:rFonts w:hint="eastAsia" w:ascii="宋体" w:hAnsi="宋体" w:eastAsia="宋体" w:cs="宋体"/>
          <w:color w:val="auto"/>
          <w:sz w:val="24"/>
          <w:szCs w:val="24"/>
          <w:highlight w:val="none"/>
          <w:lang w:val="en-US" w:eastAsia="zh-CN"/>
        </w:rPr>
        <w:t>其中1台为交钥匙工程（增加共振点补偿功能，经设备调试，完成终验收），其余</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台仅增加共振点补偿功能（由我公司自行调试）。</w:t>
      </w:r>
    </w:p>
    <w:p>
      <w:pPr>
        <w:pStyle w:val="2"/>
        <w:numPr>
          <w:ilvl w:val="0"/>
          <w:numId w:val="10"/>
        </w:numPr>
        <w:ind w:left="840" w:leftChars="0" w:hanging="360" w:firstLineChars="0"/>
        <w:rPr>
          <w:rFonts w:hint="eastAsia" w:ascii="宋体" w:hAnsi="宋体" w:eastAsia="宋体" w:cs="宋体"/>
          <w:color w:val="auto"/>
          <w:sz w:val="24"/>
          <w:szCs w:val="24"/>
          <w:highlight w:val="none"/>
          <w:lang w:val="en-US"/>
        </w:rPr>
      </w:pP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提供2天培训，内容包括软件操作、</w:t>
      </w:r>
      <w:r>
        <w:rPr>
          <w:rFonts w:hint="eastAsia" w:eastAsia="宋体" w:cs="宋体"/>
          <w:color w:val="auto"/>
          <w:sz w:val="24"/>
          <w:szCs w:val="24"/>
          <w:highlight w:val="none"/>
          <w:lang w:val="en-US" w:eastAsia="zh-CN"/>
        </w:rPr>
        <w:t>共振点补偿</w:t>
      </w:r>
      <w:r>
        <w:rPr>
          <w:rFonts w:hint="eastAsia" w:ascii="宋体" w:hAnsi="宋体" w:eastAsia="宋体" w:cs="宋体"/>
          <w:color w:val="auto"/>
          <w:sz w:val="24"/>
          <w:szCs w:val="24"/>
          <w:highlight w:val="none"/>
          <w:lang w:val="en-US" w:eastAsia="zh-CN"/>
        </w:rPr>
        <w:t>调试</w:t>
      </w:r>
      <w:r>
        <w:rPr>
          <w:rFonts w:hint="eastAsia" w:ascii="宋体" w:hAnsi="宋体" w:eastAsia="宋体" w:cs="宋体"/>
          <w:color w:val="auto"/>
          <w:sz w:val="24"/>
          <w:szCs w:val="24"/>
          <w:highlight w:val="none"/>
        </w:rPr>
        <w:t>培训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提供电子版、纸版培训资料各2套，至少2名操作者具备按照资料步骤实现</w:t>
      </w:r>
      <w:r>
        <w:rPr>
          <w:rFonts w:hint="eastAsia" w:eastAsia="宋体" w:cs="宋体"/>
          <w:color w:val="auto"/>
          <w:sz w:val="24"/>
          <w:szCs w:val="24"/>
          <w:highlight w:val="none"/>
          <w:lang w:val="en-US" w:eastAsia="zh-CN"/>
        </w:rPr>
        <w:t>共振点补偿软件操作</w:t>
      </w:r>
      <w:r>
        <w:rPr>
          <w:rFonts w:hint="eastAsia" w:ascii="宋体" w:hAnsi="宋体" w:eastAsia="宋体" w:cs="宋体"/>
          <w:color w:val="auto"/>
          <w:sz w:val="24"/>
          <w:szCs w:val="24"/>
          <w:highlight w:val="none"/>
          <w:lang w:val="en-US" w:eastAsia="zh-CN"/>
        </w:rPr>
        <w:t>调试修改的操作技能。</w:t>
      </w:r>
    </w:p>
    <w:p>
      <w:pPr>
        <w:pStyle w:val="2"/>
        <w:numPr>
          <w:ilvl w:val="0"/>
          <w:numId w:val="10"/>
        </w:numPr>
        <w:ind w:left="840" w:leftChars="0" w:hanging="36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终验收后，</w:t>
      </w: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val="en-US" w:eastAsia="zh-CN"/>
        </w:rPr>
        <w:t>提供</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个硬盘（爱国者，固态硬盘，S500,1T），对</w:t>
      </w:r>
      <w:r>
        <w:rPr>
          <w:rFonts w:hint="eastAsia"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台磨床做系统镜像备份。</w:t>
      </w:r>
    </w:p>
    <w:p>
      <w:pPr>
        <w:pStyle w:val="2"/>
        <w:numPr>
          <w:ilvl w:val="0"/>
          <w:numId w:val="10"/>
        </w:numPr>
        <w:ind w:left="840" w:leftChars="0" w:hanging="360" w:firstLineChars="0"/>
        <w:rPr>
          <w:rFonts w:hint="eastAsia" w:ascii="宋体" w:hAnsi="宋体" w:eastAsia="宋体" w:cs="宋体"/>
          <w:color w:val="auto"/>
          <w:sz w:val="24"/>
          <w:szCs w:val="24"/>
          <w:highlight w:val="none"/>
        </w:rPr>
      </w:pPr>
      <w:r>
        <w:rPr>
          <w:rFonts w:hint="eastAsia" w:eastAsia="宋体" w:cs="宋体"/>
          <w:color w:val="auto"/>
          <w:sz w:val="24"/>
          <w:szCs w:val="24"/>
          <w:highlight w:val="none"/>
          <w:lang w:val="en-US" w:eastAsia="zh-CN"/>
        </w:rPr>
        <w:t>程序图纸要求（</w:t>
      </w:r>
      <w:r>
        <w:rPr>
          <w:rFonts w:hint="eastAsia" w:ascii="宋体" w:hAnsi="宋体" w:eastAsia="宋体" w:cs="宋体"/>
          <w:color w:val="auto"/>
          <w:sz w:val="24"/>
          <w:szCs w:val="24"/>
          <w:highlight w:val="none"/>
        </w:rPr>
        <w:t>本项目涉及到的</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rPr>
        <w:t>按下列要求执行</w:t>
      </w:r>
      <w:r>
        <w:rPr>
          <w:rFonts w:hint="eastAsia" w:eastAsia="宋体" w:cs="宋体"/>
          <w:color w:val="auto"/>
          <w:sz w:val="24"/>
          <w:szCs w:val="24"/>
          <w:highlight w:val="none"/>
          <w:lang w:val="en-US" w:eastAsia="zh-CN"/>
        </w:rPr>
        <w:t>）</w:t>
      </w:r>
    </w:p>
    <w:p>
      <w:pPr>
        <w:pStyle w:val="2"/>
        <w:keepNext w:val="0"/>
        <w:keepLines w:val="0"/>
        <w:pageBreakBefore w:val="0"/>
        <w:widowControl w:val="0"/>
        <w:numPr>
          <w:ilvl w:val="0"/>
          <w:numId w:val="11"/>
        </w:numPr>
        <w:kinsoku/>
        <w:wordWrap/>
        <w:overflowPunct/>
        <w:topLinePunct w:val="0"/>
        <w:autoSpaceDE/>
        <w:autoSpaceDN/>
        <w:bidi w:val="0"/>
        <w:adjustRightInd/>
        <w:snapToGrid/>
        <w:ind w:left="845" w:leftChars="0" w:hanging="425" w:firstLineChars="0"/>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 xml:space="preserve">必须提供所有设备程序的源代码，包括但不限于 PLC 程序、HMI 程序、机器人程序、视觉程序、伺服等。 </w:t>
      </w:r>
    </w:p>
    <w:p>
      <w:pPr>
        <w:pStyle w:val="2"/>
        <w:numPr>
          <w:ilvl w:val="0"/>
          <w:numId w:val="11"/>
        </w:numPr>
        <w:ind w:left="845" w:leftChars="0" w:hanging="425" w:firstLineChars="0"/>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所提供的程序不得设置任何密码、保护等限制手段， PLC 不得设置修改下载权限，功能块不得设置密码保护。</w:t>
      </w:r>
    </w:p>
    <w:p>
      <w:pPr>
        <w:pStyle w:val="2"/>
        <w:numPr>
          <w:ilvl w:val="0"/>
          <w:numId w:val="11"/>
        </w:numPr>
        <w:ind w:left="845" w:leftChars="0" w:hanging="42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HMI 界面等需要密码保护的程序，</w:t>
      </w: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必须提供所有级别 的用户名、密码。</w:t>
      </w:r>
    </w:p>
    <w:p>
      <w:pPr>
        <w:pStyle w:val="2"/>
        <w:numPr>
          <w:ilvl w:val="0"/>
          <w:numId w:val="11"/>
        </w:numPr>
        <w:ind w:left="845" w:leftChars="0" w:hanging="425" w:firstLineChars="0"/>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需在设备入场前提供设备程序源码，HMI 界面各级用 户名和密码，并保证与现场程序一致。</w:t>
      </w:r>
    </w:p>
    <w:p>
      <w:pPr>
        <w:pStyle w:val="2"/>
        <w:numPr>
          <w:ilvl w:val="0"/>
          <w:numId w:val="11"/>
        </w:numPr>
        <w:ind w:left="845" w:leftChars="0" w:hanging="425" w:firstLineChars="0"/>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 xml:space="preserve">需在终验收前提供最新的设备程序源码和电气图纸， 图纸要求为可编辑原格式（EPLAN、CAD 格式）且与实际接线一致。 </w:t>
      </w:r>
    </w:p>
    <w:p>
      <w:pPr>
        <w:pStyle w:val="2"/>
        <w:numPr>
          <w:ilvl w:val="0"/>
          <w:numId w:val="10"/>
        </w:numPr>
        <w:ind w:left="840" w:leftChars="0" w:hanging="36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接口协议要求 </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rPr>
        <w:t>本项目涉及到的</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卖方</w:t>
      </w:r>
      <w:r>
        <w:rPr>
          <w:rFonts w:hint="eastAsia" w:ascii="宋体" w:hAnsi="宋体" w:eastAsia="宋体" w:cs="宋体"/>
          <w:color w:val="auto"/>
          <w:sz w:val="24"/>
          <w:szCs w:val="24"/>
          <w:highlight w:val="none"/>
        </w:rPr>
        <w:t>按下列要求执行</w:t>
      </w:r>
      <w:r>
        <w:rPr>
          <w:rFonts w:hint="eastAsia" w:eastAsia="宋体" w:cs="宋体"/>
          <w:color w:val="auto"/>
          <w:sz w:val="24"/>
          <w:szCs w:val="24"/>
          <w:highlight w:val="none"/>
          <w:lang w:val="en-US" w:eastAsia="zh-CN"/>
        </w:rPr>
        <w:t>）</w:t>
      </w:r>
    </w:p>
    <w:p>
      <w:pPr>
        <w:pStyle w:val="2"/>
        <w:keepNext w:val="0"/>
        <w:keepLines w:val="0"/>
        <w:pageBreakBefore w:val="0"/>
        <w:widowControl w:val="0"/>
        <w:numPr>
          <w:ilvl w:val="0"/>
          <w:numId w:val="12"/>
        </w:numPr>
        <w:kinsoku/>
        <w:wordWrap/>
        <w:overflowPunct/>
        <w:topLinePunct w:val="0"/>
        <w:autoSpaceDE/>
        <w:autoSpaceDN/>
        <w:bidi w:val="0"/>
        <w:adjustRightInd/>
        <w:snapToGrid/>
        <w:ind w:left="845" w:leftChars="0" w:hanging="425" w:firstLineChars="0"/>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免费开放所有通讯接口，包括但不限于以太网、 RS232、RS485、PROFIBUS、PROFINET、MODBUS 等常见接口，以及 设备特有的专用接口。</w:t>
      </w:r>
    </w:p>
    <w:p>
      <w:pPr>
        <w:pStyle w:val="2"/>
        <w:keepNext w:val="0"/>
        <w:keepLines w:val="0"/>
        <w:pageBreakBefore w:val="0"/>
        <w:widowControl w:val="0"/>
        <w:numPr>
          <w:ilvl w:val="0"/>
          <w:numId w:val="12"/>
        </w:numPr>
        <w:kinsoku/>
        <w:wordWrap/>
        <w:overflowPunct/>
        <w:topLinePunct w:val="0"/>
        <w:autoSpaceDE/>
        <w:autoSpaceDN/>
        <w:bidi w:val="0"/>
        <w:adjustRightInd/>
        <w:snapToGrid/>
        <w:ind w:left="845" w:leftChars="0" w:hanging="425" w:firstLineChars="0"/>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免费提供数据交互功能，交互数据包括但不限于实时 数据、历史数据、报警信息等。</w:t>
      </w:r>
    </w:p>
    <w:p>
      <w:pPr>
        <w:pStyle w:val="2"/>
        <w:keepNext w:val="0"/>
        <w:keepLines w:val="0"/>
        <w:pageBreakBefore w:val="0"/>
        <w:widowControl w:val="0"/>
        <w:numPr>
          <w:ilvl w:val="0"/>
          <w:numId w:val="12"/>
        </w:numPr>
        <w:kinsoku/>
        <w:wordWrap/>
        <w:overflowPunct/>
        <w:topLinePunct w:val="0"/>
        <w:autoSpaceDE/>
        <w:autoSpaceDN/>
        <w:bidi w:val="0"/>
        <w:adjustRightInd/>
        <w:snapToGrid/>
        <w:ind w:left="845" w:leftChars="0" w:hanging="425" w:firstLineChars="0"/>
        <w:textAlignment w:val="auto"/>
        <w:rPr>
          <w:rFonts w:hint="eastAsia" w:ascii="宋体" w:hAnsi="宋体" w:eastAsia="宋体" w:cs="宋体"/>
          <w:color w:val="auto"/>
          <w:sz w:val="24"/>
          <w:szCs w:val="24"/>
          <w:highlight w:val="none"/>
        </w:rPr>
      </w:pPr>
      <w:r>
        <w:rPr>
          <w:rFonts w:hint="eastAsia" w:eastAsia="宋体" w:cs="宋体"/>
          <w:color w:val="auto"/>
          <w:sz w:val="24"/>
          <w:szCs w:val="24"/>
          <w:highlight w:val="none"/>
          <w:lang w:eastAsia="zh-CN"/>
        </w:rPr>
        <w:t>卖方</w:t>
      </w:r>
      <w:r>
        <w:rPr>
          <w:rFonts w:hint="eastAsia" w:ascii="宋体" w:hAnsi="宋体" w:eastAsia="宋体" w:cs="宋体"/>
          <w:color w:val="auto"/>
          <w:sz w:val="24"/>
          <w:szCs w:val="24"/>
          <w:highlight w:val="none"/>
        </w:rPr>
        <w:t>在设备入场前提供接口的技术文档和参数说明，包括 但不限于接口协议、通讯速率、数据格式等。</w:t>
      </w:r>
    </w:p>
    <w:p>
      <w:pPr>
        <w:pStyle w:val="2"/>
        <w:keepNext w:val="0"/>
        <w:keepLines w:val="0"/>
        <w:pageBreakBefore w:val="0"/>
        <w:widowControl w:val="0"/>
        <w:numPr>
          <w:ilvl w:val="0"/>
          <w:numId w:val="12"/>
        </w:numPr>
        <w:kinsoku/>
        <w:wordWrap/>
        <w:overflowPunct/>
        <w:topLinePunct w:val="0"/>
        <w:autoSpaceDE/>
        <w:autoSpaceDN/>
        <w:bidi w:val="0"/>
        <w:adjustRightInd/>
        <w:snapToGrid/>
        <w:ind w:left="845" w:leftChars="0" w:hanging="425" w:firstLineChars="0"/>
        <w:textAlignment w:val="auto"/>
        <w:rPr>
          <w:rFonts w:hint="eastAsia" w:ascii="黑体" w:hAnsi="黑体" w:eastAsia="黑体" w:cs="黑体"/>
          <w:b w:val="0"/>
          <w:bCs/>
          <w:sz w:val="24"/>
          <w:szCs w:val="24"/>
          <w:highlight w:val="none"/>
          <w:lang w:val="en-US" w:eastAsia="zh-CN"/>
        </w:rPr>
      </w:pPr>
      <w:r>
        <w:rPr>
          <w:rFonts w:hint="eastAsia" w:ascii="宋体" w:hAnsi="宋体" w:eastAsia="宋体" w:cs="宋体"/>
          <w:color w:val="auto"/>
          <w:sz w:val="24"/>
          <w:szCs w:val="24"/>
          <w:highlight w:val="none"/>
        </w:rPr>
        <w:t>设备使用周期内，</w:t>
      </w:r>
      <w:r>
        <w:rPr>
          <w:rFonts w:hint="eastAsia" w:ascii="宋体" w:hAnsi="宋体" w:eastAsia="宋体" w:cs="宋体"/>
          <w:color w:val="auto"/>
          <w:sz w:val="24"/>
          <w:szCs w:val="24"/>
          <w:highlight w:val="none"/>
          <w:lang w:eastAsia="zh-CN"/>
        </w:rPr>
        <w:t>卖方</w:t>
      </w:r>
      <w:r>
        <w:rPr>
          <w:rFonts w:hint="eastAsia" w:ascii="宋体" w:hAnsi="宋体" w:eastAsia="宋体" w:cs="宋体"/>
          <w:color w:val="auto"/>
          <w:sz w:val="24"/>
          <w:szCs w:val="24"/>
          <w:highlight w:val="none"/>
        </w:rPr>
        <w:t>免费派遣技术人员与甲方调试团队共同进行设备通讯接口的调试工作。</w:t>
      </w:r>
    </w:p>
    <w:p>
      <w:pPr>
        <w:keepNext/>
        <w:keepLines/>
        <w:ind w:leftChars="100"/>
        <w:outlineLvl w:val="1"/>
        <w:rPr>
          <w:rFonts w:hint="eastAsia" w:ascii="Calibri" w:hAnsi="Calibri" w:eastAsia="宋体" w:cs="Times New Roman"/>
          <w:b/>
          <w:bCs/>
          <w:kern w:val="44"/>
          <w:sz w:val="28"/>
          <w:szCs w:val="28"/>
          <w:highlight w:val="none"/>
        </w:rPr>
      </w:pPr>
    </w:p>
    <w:p>
      <w:pPr>
        <w:pStyle w:val="2"/>
        <w:rPr>
          <w:rFonts w:hint="eastAsia"/>
        </w:rPr>
      </w:pPr>
    </w:p>
    <w:p>
      <w:pPr>
        <w:pStyle w:val="2"/>
        <w:rPr>
          <w:rFonts w:hint="eastAsia" w:ascii="Calibri" w:hAnsi="Calibri" w:eastAsia="宋体" w:cs="Times New Roman"/>
          <w:b/>
          <w:bCs/>
          <w:kern w:val="44"/>
          <w:sz w:val="28"/>
          <w:szCs w:val="28"/>
          <w:highlight w:val="none"/>
        </w:rPr>
      </w:pPr>
    </w:p>
    <w:p>
      <w:pPr>
        <w:pStyle w:val="2"/>
        <w:rPr>
          <w:rFonts w:hint="eastAsia" w:ascii="Calibri" w:hAnsi="Calibri" w:eastAsia="宋体" w:cs="Times New Roman"/>
          <w:b/>
          <w:bCs/>
          <w:kern w:val="44"/>
          <w:sz w:val="28"/>
          <w:szCs w:val="28"/>
          <w:highlight w:val="none"/>
        </w:rPr>
      </w:pPr>
    </w:p>
    <w:p>
      <w:pPr>
        <w:keepNext/>
        <w:keepLines/>
        <w:ind w:firstLine="3092" w:firstLineChars="1100"/>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pPr>
        <w:rPr>
          <w:highlight w:val="none"/>
        </w:rPr>
      </w:pPr>
    </w:p>
    <w:p>
      <w:pPr>
        <w:numPr>
          <w:ilvl w:val="0"/>
          <w:numId w:val="13"/>
        </w:numPr>
        <w:spacing w:line="420" w:lineRule="exact"/>
        <w:ind w:firstLine="482" w:firstLineChars="200"/>
        <w:outlineLvl w:val="3"/>
        <w:rPr>
          <w:highlight w:val="none"/>
        </w:rPr>
      </w:pPr>
      <w:r>
        <w:rPr>
          <w:rFonts w:hint="eastAsia" w:ascii="黑体" w:hAnsi="黑体" w:eastAsia="黑体" w:cs="黑体"/>
          <w:b/>
          <w:bCs/>
          <w:sz w:val="24"/>
          <w:szCs w:val="24"/>
          <w:highlight w:val="none"/>
        </w:rPr>
        <w:t>供货范围（按照组成项目主要构成一览表的所有最小单元逐一列示，要涵盖培训等内容）</w:t>
      </w:r>
    </w:p>
    <w:p>
      <w:pPr>
        <w:pStyle w:val="2"/>
        <w:rPr>
          <w:rFonts w:hint="eastAsia" w:ascii="宋体" w:hAnsi="宋体" w:eastAsia="宋体" w:cs="宋体"/>
          <w:color w:val="auto"/>
          <w:highlight w:val="none"/>
        </w:rPr>
      </w:pPr>
    </w:p>
    <w:tbl>
      <w:tblPr>
        <w:tblStyle w:val="140"/>
        <w:tblW w:w="10583" w:type="dxa"/>
        <w:jc w:val="center"/>
        <w:tblLayout w:type="fixed"/>
        <w:tblCellMar>
          <w:top w:w="0" w:type="dxa"/>
          <w:left w:w="2" w:type="dxa"/>
          <w:bottom w:w="0" w:type="dxa"/>
          <w:right w:w="2" w:type="dxa"/>
        </w:tblCellMar>
      </w:tblPr>
      <w:tblGrid>
        <w:gridCol w:w="535"/>
        <w:gridCol w:w="2143"/>
        <w:gridCol w:w="5559"/>
        <w:gridCol w:w="602"/>
        <w:gridCol w:w="627"/>
        <w:gridCol w:w="1117"/>
      </w:tblGrid>
      <w:tr>
        <w:tblPrEx>
          <w:tblCellMar>
            <w:top w:w="0" w:type="dxa"/>
            <w:left w:w="2" w:type="dxa"/>
            <w:bottom w:w="0" w:type="dxa"/>
            <w:right w:w="2" w:type="dxa"/>
          </w:tblCellMar>
        </w:tblPrEx>
        <w:trPr>
          <w:cantSplit/>
          <w:trHeight w:val="39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序号</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货物名称</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单位</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备  注</w:t>
            </w:r>
          </w:p>
        </w:tc>
      </w:tr>
      <w:tr>
        <w:tblPrEx>
          <w:tblCellMar>
            <w:top w:w="0" w:type="dxa"/>
            <w:left w:w="2" w:type="dxa"/>
            <w:bottom w:w="0" w:type="dxa"/>
            <w:right w:w="2" w:type="dxa"/>
          </w:tblCellMar>
        </w:tblPrEx>
        <w:trPr>
          <w:cantSplit/>
          <w:trHeight w:val="90"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highlight w:val="none"/>
                <w:lang w:eastAsia="zh-CN"/>
              </w:rPr>
              <w:t>曲轴磨床增加共振点补偿功能项目</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rPr>
              <w:t>JUNKER</w:t>
            </w:r>
            <w:r>
              <w:rPr>
                <w:rFonts w:hint="eastAsia" w:ascii="宋体" w:hAnsi="宋体" w:eastAsia="宋体" w:cs="宋体"/>
                <w:color w:val="auto"/>
                <w:highlight w:val="none"/>
                <w:lang w:eastAsia="zh-CN"/>
              </w:rPr>
              <w:t>，</w:t>
            </w: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本项为交钥匙工程，包含卖方调试、验收。</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1</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2</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highlight w:val="none"/>
                <w:lang w:eastAsia="zh-CN"/>
              </w:rPr>
              <w:t>曲轴磨床增加共振点补偿功能项目</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color w:val="auto"/>
                <w:highlight w:val="none"/>
              </w:rPr>
              <w:t>JUNKER</w:t>
            </w:r>
            <w:r>
              <w:rPr>
                <w:rFonts w:hint="eastAsia" w:ascii="宋体" w:hAnsi="宋体" w:eastAsia="宋体" w:cs="宋体"/>
                <w:color w:val="auto"/>
                <w:highlight w:val="none"/>
                <w:lang w:eastAsia="zh-CN"/>
              </w:rPr>
              <w:t>，</w:t>
            </w:r>
            <w:r>
              <w:rPr>
                <w:rFonts w:hint="eastAsia" w:ascii="宋体" w:hAnsi="宋体" w:eastAsia="宋体" w:cs="宋体"/>
                <w:kern w:val="0"/>
                <w:sz w:val="24"/>
                <w:szCs w:val="24"/>
                <w:highlight w:val="none"/>
              </w:rPr>
              <w:t>现有设备升级</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本项不包含卖方调试、验收。</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jc w:val="center"/>
              <w:rPr>
                <w:rFonts w:hint="eastAsia" w:ascii="宋体" w:hAnsi="宋体" w:eastAsia="宋体" w:cs="宋体"/>
                <w:color w:val="auto"/>
                <w:kern w:val="0"/>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镜像系统硬盘</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爱国者，固态硬盘，S500,1T</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个</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培训</w:t>
            </w: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负责对买方操作、维修人员进行培训。</w:t>
            </w: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6</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7</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r>
        <w:tblPrEx>
          <w:tblCellMar>
            <w:top w:w="0" w:type="dxa"/>
            <w:left w:w="2" w:type="dxa"/>
            <w:bottom w:w="0" w:type="dxa"/>
            <w:right w:w="2" w:type="dxa"/>
          </w:tblCellMar>
        </w:tblPrEx>
        <w:trPr>
          <w:cantSplit/>
          <w:trHeight w:val="364"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8</w:t>
            </w:r>
          </w:p>
        </w:tc>
        <w:tc>
          <w:tcPr>
            <w:tcW w:w="2143"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5559"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b w:val="0"/>
                <w:bCs w:val="0"/>
                <w:color w:val="auto"/>
                <w:kern w:val="2"/>
                <w:sz w:val="24"/>
                <w:szCs w:val="24"/>
                <w:highlight w:val="none"/>
                <w:lang w:val="en-US" w:eastAsia="zh-CN" w:bidi="ar-SA"/>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r>
    </w:tbl>
    <w:p>
      <w:pPr>
        <w:pStyle w:val="2"/>
        <w:rPr>
          <w:rFonts w:hint="eastAsia" w:ascii="宋体" w:hAnsi="宋体" w:eastAsia="宋体" w:cs="宋体"/>
          <w:color w:val="auto"/>
          <w:highlight w:val="none"/>
        </w:rPr>
      </w:pPr>
    </w:p>
    <w:p>
      <w:pPr>
        <w:spacing w:line="420" w:lineRule="exact"/>
        <w:ind w:firstLine="480" w:firstLineChars="200"/>
        <w:rPr>
          <w:rFonts w:hint="eastAsia" w:ascii="黑体" w:hAnsi="黑体" w:eastAsia="黑体" w:cs="黑体"/>
          <w:color w:val="000000"/>
          <w:sz w:val="24"/>
          <w:szCs w:val="20"/>
          <w:highlight w:val="none"/>
          <w:lang w:eastAsia="zh-CN"/>
        </w:rPr>
      </w:pPr>
      <w:r>
        <w:rPr>
          <w:rFonts w:hint="eastAsia" w:ascii="黑体" w:hAnsi="黑体" w:eastAsia="黑体" w:cs="黑体"/>
          <w:color w:val="000000"/>
          <w:sz w:val="24"/>
          <w:szCs w:val="20"/>
          <w:highlight w:val="none"/>
          <w:lang w:val="en-US" w:eastAsia="zh-CN"/>
        </w:rPr>
        <w:t>二</w:t>
      </w:r>
      <w:r>
        <w:rPr>
          <w:rFonts w:hint="eastAsia" w:ascii="黑体" w:hAnsi="黑体" w:eastAsia="黑体" w:cs="黑体"/>
          <w:color w:val="000000"/>
          <w:sz w:val="24"/>
          <w:szCs w:val="20"/>
          <w:highlight w:val="none"/>
        </w:rPr>
        <w:t>、供货方式</w:t>
      </w:r>
    </w:p>
    <w:p>
      <w:pPr>
        <w:keepNext/>
        <w:keepLines/>
        <w:spacing w:before="120" w:after="120" w:line="480" w:lineRule="exact"/>
        <w:ind w:firstLine="480" w:firstLineChars="200"/>
        <w:jc w:val="both"/>
        <w:outlineLvl w:val="2"/>
        <w:rPr>
          <w:rFonts w:hint="default"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见技术协议第一章第二节</w:t>
      </w:r>
      <w:r>
        <w:rPr>
          <w:rFonts w:hint="eastAsia" w:ascii="黑体" w:hAnsi="黑体" w:eastAsia="宋体" w:cs="黑体"/>
          <w:b w:val="0"/>
          <w:bCs w:val="0"/>
          <w:sz w:val="24"/>
          <w:szCs w:val="24"/>
          <w:highlight w:val="none"/>
        </w:rPr>
        <w:t>第二节采购货物概况</w:t>
      </w:r>
      <w:r>
        <w:rPr>
          <w:rFonts w:hint="eastAsia" w:ascii="黑体" w:hAnsi="黑体" w:eastAsia="宋体" w:cs="黑体"/>
          <w:b w:val="0"/>
          <w:bCs w:val="0"/>
          <w:sz w:val="24"/>
          <w:szCs w:val="24"/>
          <w:highlight w:val="none"/>
          <w:lang w:val="en-US" w:eastAsia="zh-CN"/>
        </w:rPr>
        <w:t>内的供货方式</w:t>
      </w:r>
      <w:r>
        <w:rPr>
          <w:rFonts w:hint="eastAsia" w:ascii="黑体" w:hAnsi="黑体" w:eastAsia="宋体" w:cs="黑体"/>
          <w:b w:val="0"/>
          <w:bCs w:val="0"/>
          <w:sz w:val="24"/>
          <w:szCs w:val="24"/>
          <w:highlight w:val="none"/>
          <w:lang w:eastAsia="zh-CN"/>
        </w:rPr>
        <w:t>。</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二、供货地点</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本项目建设工地。</w:t>
      </w:r>
    </w:p>
    <w:p>
      <w:pPr>
        <w:spacing w:line="420" w:lineRule="exact"/>
        <w:ind w:firstLine="480" w:firstLineChars="200"/>
        <w:rPr>
          <w:rFonts w:hint="eastAsia" w:ascii="黑体" w:hAnsi="黑体" w:eastAsia="黑体" w:cs="黑体"/>
          <w:color w:val="000000"/>
          <w:sz w:val="24"/>
          <w:szCs w:val="20"/>
          <w:highlight w:val="none"/>
          <w:lang w:eastAsia="zh-CN"/>
        </w:rPr>
      </w:pPr>
      <w:r>
        <w:rPr>
          <w:rFonts w:hint="eastAsia" w:ascii="黑体" w:hAnsi="黑体" w:eastAsia="黑体" w:cs="黑体"/>
          <w:color w:val="000000"/>
          <w:sz w:val="24"/>
          <w:szCs w:val="20"/>
          <w:highlight w:val="none"/>
        </w:rPr>
        <w:t>三、供货时间</w:t>
      </w:r>
      <w:r>
        <w:rPr>
          <w:rFonts w:hint="eastAsia" w:ascii="黑体" w:hAnsi="黑体" w:eastAsia="黑体" w:cs="黑体"/>
          <w:color w:val="000000"/>
          <w:sz w:val="24"/>
          <w:szCs w:val="20"/>
          <w:highlight w:val="none"/>
          <w:lang w:eastAsia="zh-CN"/>
        </w:rPr>
        <w:t>：</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自合同签定生效之日起，接续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w:t>
      </w:r>
      <w:r>
        <w:rPr>
          <w:rFonts w:hint="eastAsia" w:eastAsia="宋体" w:cs="宋体"/>
          <w:color w:val="000000"/>
          <w:sz w:val="24"/>
          <w:szCs w:val="24"/>
          <w:highlight w:val="none"/>
          <w:lang w:val="en-US" w:eastAsia="zh-CN"/>
        </w:rPr>
        <w:t>改造调试</w:t>
      </w:r>
      <w:r>
        <w:rPr>
          <w:rFonts w:eastAsia="宋体" w:cs="宋体"/>
          <w:color w:val="000000"/>
          <w:sz w:val="24"/>
          <w:szCs w:val="24"/>
          <w:highlight w:val="none"/>
        </w:rPr>
        <w:t>完毕。</w:t>
      </w:r>
    </w:p>
    <w:p>
      <w:pPr>
        <w:pStyle w:val="2"/>
        <w:widowControl w:val="0"/>
        <w:spacing w:before="0" w:after="0"/>
        <w:ind w:firstLine="480"/>
        <w:rPr>
          <w:rFonts w:eastAsia="宋体" w:cs="宋体"/>
          <w:color w:val="000000"/>
          <w:sz w:val="24"/>
          <w:szCs w:val="24"/>
          <w:highlight w:val="none"/>
        </w:rPr>
      </w:pP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6</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pPr>
        <w:spacing w:line="420" w:lineRule="exact"/>
        <w:ind w:firstLine="480" w:firstLineChars="200"/>
        <w:rPr>
          <w:rFonts w:eastAsia="宋体" w:cs="宋体"/>
          <w:color w:val="000000"/>
          <w:sz w:val="24"/>
          <w:szCs w:val="24"/>
          <w:highlight w:val="none"/>
        </w:rPr>
      </w:pPr>
      <w:r>
        <w:rPr>
          <w:rFonts w:eastAsia="宋体" w:cs="宋体"/>
          <w:color w:val="000000"/>
          <w:sz w:val="24"/>
          <w:szCs w:val="24"/>
          <w:highlight w:val="none"/>
        </w:rPr>
        <w:t>安装调试工期超过</w:t>
      </w:r>
      <w:r>
        <w:rPr>
          <w:rFonts w:eastAsia="宋体" w:cs="宋体"/>
          <w:color w:val="000000"/>
          <w:sz w:val="24"/>
          <w:szCs w:val="24"/>
          <w:highlight w:val="none"/>
          <w:lang w:val="en-US" w:eastAsia="zh-CN"/>
        </w:rPr>
        <w:t>规定时间</w:t>
      </w:r>
      <w:r>
        <w:rPr>
          <w:rFonts w:eastAsia="宋体" w:cs="宋体"/>
          <w:color w:val="000000"/>
          <w:sz w:val="24"/>
          <w:szCs w:val="24"/>
          <w:highlight w:val="none"/>
        </w:rPr>
        <w:t>的，投标人应当随标书提供详细的工期计划。</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四、包装</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1、所提供货物（或设备）的包装，应遵照国家标准和有关包装、包皮的技术条件，或按照最好的商业惯例进行包装。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3、所提供货物（或设备）的包装，应能防止其一般性被窃或受外力破坏；一般不得采用有大缝隙的板条包装。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4、应对包装件做必要的加固和固定，以防止运输可能造成的损坏。</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7、应按照不同的装运要求在包装箱上标明“小心轻放”、“箭头向上”、“防潮”、“防磁”、“不准平放”等标志，以及其他适用的国标通用标志。</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8、包装箱应连续编号，不应出现重复编号。</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9、在不受到外界破坏情况下，包装应保证自交货日起一年内货物（或设备）完好无损。</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五、运输</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1、应负责将货物（或设备）运到目的地，并必须做到货物（或设备）在任何运输过程中不受损坏和遗失。</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2、一般情况下，经由铁路、公路运输的包装件尺寸和重量不应超过国家所规定的尺寸限制。特殊情况应予以说明。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4、货物（或设备）运抵交货地点后，应负责货物（或设备）的卸货、搬运、保管等事宜；或按照合同约定。</w:t>
      </w:r>
    </w:p>
    <w:p>
      <w:pPr>
        <w:pStyle w:val="2"/>
        <w:rPr>
          <w:highlight w:val="none"/>
        </w:rPr>
      </w:pPr>
    </w:p>
    <w:p>
      <w:pPr>
        <w:pStyle w:val="2"/>
        <w:ind w:left="0" w:firstLine="562"/>
        <w:rPr>
          <w:rFonts w:hint="eastAsia" w:ascii="黑体" w:hAnsi="黑体" w:eastAsia="黑体" w:cs="黑体"/>
          <w:color w:val="000000"/>
          <w:kern w:val="2"/>
          <w:sz w:val="24"/>
          <w:szCs w:val="20"/>
          <w:highlight w:val="none"/>
          <w:lang w:val="en-US" w:eastAsia="zh-CN" w:bidi="ar-SA"/>
        </w:rPr>
      </w:pPr>
      <w:r>
        <w:rPr>
          <w:rFonts w:hint="eastAsia" w:ascii="黑体" w:hAnsi="黑体" w:eastAsia="黑体" w:cs="黑体"/>
          <w:color w:val="000000"/>
          <w:kern w:val="2"/>
          <w:sz w:val="24"/>
          <w:szCs w:val="20"/>
          <w:highlight w:val="none"/>
          <w:lang w:val="en-US" w:eastAsia="zh-CN" w:bidi="ar-SA"/>
        </w:rPr>
        <w:t>六、施工要求</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、施工人员需取得相关证件，施工过程中使用的机械及工具类均应符合国家安全要求。</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安全环保要求：乙方在施工期间，必须服从甲方的管理，遵守甲方的厂规厂纪，必须符合甲方环保/职业健康安全的有关规定，做到安全施工文明生产，否则甲方有权停止乙方的工作，并有权要求乙方更换工作人员。因乙方责任造成的安全事故，由乙方承担全部责任。需另签安全施工协议。 </w:t>
      </w: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bookmarkStart w:id="45" w:name="_Toc14037"/>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四</w:t>
      </w:r>
      <w:r>
        <w:rPr>
          <w:rFonts w:ascii="宋体" w:hAnsi="宋体" w:eastAsia="宋体"/>
          <w:b/>
          <w:color w:val="000000"/>
          <w:kern w:val="44"/>
          <w:sz w:val="30"/>
          <w:szCs w:val="24"/>
          <w:highlight w:val="none"/>
        </w:rPr>
        <w:t>章  质保期及售后服务</w:t>
      </w:r>
      <w:bookmarkEnd w:id="45"/>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一、质保期及质保要求</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spacing w:line="420" w:lineRule="exact"/>
        <w:ind w:firstLine="480" w:firstLineChars="200"/>
        <w:jc w:val="left"/>
        <w:rPr>
          <w:rFonts w:ascii="Times New Roman" w:hAnsi="Times New Roman" w:eastAsia="宋体" w:cs="Times New Roman"/>
          <w:b w:val="0"/>
          <w:bCs w:val="0"/>
          <w:color w:val="000000"/>
          <w:sz w:val="24"/>
          <w:szCs w:val="20"/>
          <w:highlight w:val="none"/>
        </w:rPr>
      </w:pPr>
      <w:r>
        <w:rPr>
          <w:rFonts w:ascii="Times New Roman" w:hAnsi="Times New Roman" w:eastAsia="宋体" w:cs="Times New Roman"/>
          <w:b w:val="0"/>
          <w:bCs w:val="0"/>
          <w:color w:val="000000"/>
          <w:sz w:val="24"/>
          <w:szCs w:val="20"/>
          <w:highlight w:val="none"/>
        </w:rPr>
        <w:t>1、全部供货范围内的设备、材料、零配件和工器具等，除合同特别约定外，其质保期均自终验收签字生效之日起</w:t>
      </w:r>
      <w:r>
        <w:rPr>
          <w:rFonts w:hint="eastAsia" w:ascii="Times New Roman" w:hAnsi="Times New Roman" w:eastAsia="宋体" w:cs="Times New Roman"/>
          <w:b w:val="0"/>
          <w:bCs w:val="0"/>
          <w:color w:val="000000"/>
          <w:sz w:val="24"/>
          <w:szCs w:val="20"/>
          <w:highlight w:val="none"/>
          <w:u w:val="single"/>
          <w:lang w:val="en-US" w:eastAsia="zh-CN"/>
        </w:rPr>
        <w:t xml:space="preserve"> </w:t>
      </w:r>
      <w:r>
        <w:rPr>
          <w:rFonts w:ascii="Times New Roman" w:hAnsi="Times New Roman" w:eastAsia="宋体" w:cs="Times New Roman"/>
          <w:b w:val="0"/>
          <w:bCs w:val="0"/>
          <w:color w:val="000000"/>
          <w:sz w:val="24"/>
          <w:szCs w:val="20"/>
          <w:highlight w:val="none"/>
          <w:u w:val="single"/>
        </w:rPr>
        <w:t>12</w:t>
      </w:r>
      <w:r>
        <w:rPr>
          <w:rFonts w:hint="eastAsia" w:ascii="Times New Roman" w:hAnsi="Times New Roman" w:eastAsia="宋体" w:cs="Times New Roman"/>
          <w:b w:val="0"/>
          <w:bCs w:val="0"/>
          <w:color w:val="000000"/>
          <w:sz w:val="24"/>
          <w:szCs w:val="20"/>
          <w:highlight w:val="none"/>
          <w:u w:val="single"/>
          <w:lang w:val="en-US" w:eastAsia="zh-CN"/>
        </w:rPr>
        <w:t xml:space="preserve"> </w:t>
      </w:r>
      <w:r>
        <w:rPr>
          <w:rFonts w:ascii="Times New Roman" w:hAnsi="Times New Roman" w:eastAsia="宋体" w:cs="Times New Roman"/>
          <w:b w:val="0"/>
          <w:bCs w:val="0"/>
          <w:color w:val="000000"/>
          <w:sz w:val="24"/>
          <w:szCs w:val="20"/>
          <w:highlight w:val="none"/>
        </w:rPr>
        <w:t>个月。</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b w:val="0"/>
          <w:bCs w:val="0"/>
          <w:color w:val="000000"/>
          <w:sz w:val="24"/>
          <w:szCs w:val="20"/>
          <w:highlight w:val="none"/>
        </w:rPr>
        <w:t>投标货物或涉及的关键总成和零件，如果有更长</w:t>
      </w:r>
      <w:r>
        <w:rPr>
          <w:rFonts w:ascii="Times New Roman" w:hAnsi="Times New Roman" w:eastAsia="宋体" w:cs="Times New Roman"/>
          <w:color w:val="000000"/>
          <w:sz w:val="24"/>
          <w:szCs w:val="20"/>
          <w:highlight w:val="none"/>
        </w:rPr>
        <w:t>时间质保期，允许更改并说明，此将有利于投标方。设计使用寿命短于质保期的易损件除外，但属于易损件的，应当有明确说明。</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3、质保期内免费提供零部件和及时有效的服务。质保期内因货物本身缺陷造成的各种故障，卖方应负责免费维修和服务。</w:t>
      </w:r>
    </w:p>
    <w:p>
      <w:pPr>
        <w:spacing w:line="420" w:lineRule="exact"/>
        <w:ind w:firstLine="480" w:firstLineChars="200"/>
        <w:jc w:val="left"/>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4、质保期终止之日起一年内重复出现的质保期之内出现的故障，仍属质保范围而且应当免费。</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二、技术及培训服务</w:t>
      </w:r>
    </w:p>
    <w:p>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w:t>
      </w:r>
      <w:r>
        <w:rPr>
          <w:rFonts w:hint="eastAsia" w:ascii="Times New Roman" w:hAnsi="Times New Roman" w:eastAsia="宋体" w:cs="Times New Roman"/>
          <w:color w:val="000000"/>
          <w:sz w:val="24"/>
          <w:szCs w:val="20"/>
          <w:highlight w:val="none"/>
        </w:rPr>
        <w:t>、应负责在买方货物使用现场，对技术、维修和操作人员提供免费的理论、技术和操作、维修等方面的技术指导和培训，并接受买方有关人员的技术咨询。</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2、应免费提供一定数量的培训资料。</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三、安装调试及验收服务</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指导安装调试或负责安装调试以及协助验收，投标方均应在投标档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4、在卖方所提供货物需要得到买方建设项目所在地政府或行业主管部门的查验、试验、验收时，卖方应当免费完成或协助招标方完成所需要的工作、材料和服务等。协助完成的，应当在投标档报价内容中予以说明，否则视同免费。</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5、卖方应当向买方提供货物试验、验收的有关标准、规范和方法，同时提供货物涉及并使用的软件合法性证明。</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6、服务缺陷视同货物缺陷和履约延期。</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四、售后服务</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w:t>
      </w:r>
      <w:r>
        <w:rPr>
          <w:rFonts w:hint="eastAsia" w:ascii="Times New Roman" w:hAnsi="Times New Roman" w:eastAsia="宋体" w:cs="Times New Roman"/>
          <w:color w:val="000000"/>
          <w:sz w:val="24"/>
          <w:szCs w:val="20"/>
          <w:highlight w:val="none"/>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highlight w:val="none"/>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3、卖方派往买方使用现场的人员，应具有较高的业务素质；现场解决问题时，不得无故拖延或推迟，应为买方提供最佳的服务。</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五、其他服务</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1、若卖方所提供货物有需要进口的，卖方一般应自行、自费办理；必要时，买卖双方共同办理。</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2、除招标档、投标档、答疑档、技术协议、合同等约定之外，卖方应免费负责必要的或强制性的货物的检验、试验、化验等直接费用。</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3、本章节条款所列“免费”，并非指定不可收费，而是指招标档、投标档、答疑档、技术交流档、技术协议书和合同等范围之外，投标方不可另行收取的费用。</w:t>
      </w:r>
    </w:p>
    <w:p>
      <w:pPr>
        <w:keepNext/>
        <w:keepLines/>
        <w:jc w:val="center"/>
        <w:outlineLvl w:val="0"/>
        <w:rPr>
          <w:rFonts w:ascii="宋体" w:hAnsi="宋体" w:eastAsia="宋体"/>
          <w:b/>
          <w:color w:val="000000"/>
          <w:kern w:val="44"/>
          <w:sz w:val="30"/>
          <w:szCs w:val="24"/>
          <w:highlight w:val="none"/>
        </w:rPr>
      </w:pPr>
      <w:r>
        <w:rPr>
          <w:rFonts w:eastAsia="黑体"/>
          <w:bCs/>
          <w:color w:val="000000"/>
          <w:kern w:val="44"/>
          <w:sz w:val="36"/>
          <w:szCs w:val="24"/>
          <w:highlight w:val="none"/>
        </w:rPr>
        <w:br w:type="page"/>
      </w:r>
      <w:bookmarkStart w:id="46" w:name="_Toc12157"/>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五</w:t>
      </w:r>
      <w:r>
        <w:rPr>
          <w:rFonts w:ascii="宋体" w:hAnsi="宋体" w:eastAsia="宋体"/>
          <w:b/>
          <w:color w:val="000000"/>
          <w:kern w:val="44"/>
          <w:sz w:val="30"/>
          <w:szCs w:val="24"/>
          <w:highlight w:val="none"/>
        </w:rPr>
        <w:t>章  验收</w:t>
      </w:r>
      <w:bookmarkEnd w:id="46"/>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一、验收依据和验收标准</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2、如果验收过程中，发现招标档、投标档、答疑档、技术交流档等与技术协议书、合同存在差异，原则上以涉及条款中对买方最有利条款为验收依据。</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二、检验</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如果采购货物涉及必要的或必需的检验，投标方应当在投标档中明确可能涉及的检验费用，并将该费用包含在投标总报价之内；不作针对性澄清或说明的，视同包含在投标总价之内。基本约定如下：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1、国产货物的检验一般由买卖双方共同进行或按照合同要求进行。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2、进口货物的检验，卖方需要按照下述要求进行：</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2.2  应依据合同规定的要求，提供买卖双方达成一致的货物的验收标准和装箱单，作为买方检验的依据。</w:t>
      </w:r>
    </w:p>
    <w:p>
      <w:pPr>
        <w:adjustRightInd w:val="0"/>
        <w:snapToGrid w:val="0"/>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2.3  进口货物到达目的地后，买方有权申请中国商品检验检疫局进行检验，如发现货物的质量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三、验收基本条件</w:t>
      </w:r>
    </w:p>
    <w:p>
      <w:pPr>
        <w:numPr>
          <w:ilvl w:val="0"/>
          <w:numId w:val="0"/>
        </w:numPr>
        <w:adjustRightInd w:val="0"/>
        <w:snapToGrid w:val="0"/>
        <w:spacing w:line="420" w:lineRule="exact"/>
        <w:ind w:left="480" w:left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rPr>
        <w:t>买卖双方按照合同约定执行了合同，同时货物完成了试运行并经检验合格，则具备验收条件。</w:t>
      </w:r>
    </w:p>
    <w:p>
      <w:pPr>
        <w:adjustRightInd w:val="0"/>
        <w:snapToGrid w:val="0"/>
        <w:spacing w:line="420" w:lineRule="exact"/>
        <w:ind w:firstLine="480" w:firstLineChars="20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终验收在买方现场、机床调试后进行。验收内容：</w:t>
      </w:r>
    </w:p>
    <w:p>
      <w:pPr>
        <w:pStyle w:val="2"/>
        <w:numPr>
          <w:ilvl w:val="0"/>
          <w:numId w:val="14"/>
        </w:numPr>
        <w:ind w:left="840" w:leftChars="0" w:hanging="360" w:firstLineChars="0"/>
        <w:rPr>
          <w:rFonts w:hint="eastAsia" w:ascii="宋体" w:hAns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eastAsia="zh-CN"/>
        </w:rPr>
        <w:t>台磨床做交钥匙验收，具体要求：</w:t>
      </w:r>
      <w:r>
        <w:rPr>
          <w:rFonts w:hint="eastAsia"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具备</w:t>
      </w:r>
      <w:r>
        <w:rPr>
          <w:rFonts w:hint="eastAsia" w:ascii="宋体" w:hAnsi="宋体" w:eastAsia="宋体" w:cs="宋体"/>
          <w:color w:val="auto"/>
          <w:sz w:val="24"/>
          <w:szCs w:val="24"/>
          <w:highlight w:val="none"/>
          <w:lang w:val="en-US" w:eastAsia="zh-CN"/>
        </w:rPr>
        <w:t>共振点补偿</w:t>
      </w:r>
      <w:r>
        <w:rPr>
          <w:rFonts w:hint="eastAsia" w:eastAsia="宋体" w:cs="宋体"/>
          <w:color w:val="auto"/>
          <w:sz w:val="24"/>
          <w:szCs w:val="24"/>
          <w:highlight w:val="none"/>
          <w:lang w:val="en-US" w:eastAsia="zh-CN"/>
        </w:rPr>
        <w:t>功能</w:t>
      </w:r>
      <w:r>
        <w:rPr>
          <w:rFonts w:hint="eastAsia" w:ascii="宋体" w:hAnsi="宋体" w:eastAsia="宋体" w:cs="宋体"/>
          <w:color w:val="auto"/>
          <w:sz w:val="24"/>
          <w:szCs w:val="24"/>
          <w:highlight w:val="none"/>
          <w:lang w:val="en-US" w:eastAsia="zh-CN"/>
        </w:rPr>
        <w:t>，具备</w:t>
      </w:r>
      <w:r>
        <w:rPr>
          <w:rFonts w:hint="eastAsia" w:eastAsia="宋体" w:cs="宋体"/>
          <w:color w:val="auto"/>
          <w:sz w:val="24"/>
          <w:szCs w:val="24"/>
          <w:highlight w:val="none"/>
          <w:lang w:val="en-US" w:eastAsia="zh-CN"/>
        </w:rPr>
        <w:t>补偿</w:t>
      </w:r>
      <w:r>
        <w:rPr>
          <w:rFonts w:hint="eastAsia" w:ascii="宋体" w:hAnsi="宋体" w:eastAsia="宋体" w:cs="宋体"/>
          <w:color w:val="auto"/>
          <w:sz w:val="24"/>
          <w:szCs w:val="24"/>
          <w:highlight w:val="none"/>
          <w:lang w:val="en-US" w:eastAsia="zh-CN"/>
        </w:rPr>
        <w:t>参数设置调整界面，可通过更改参数实现更改</w:t>
      </w:r>
      <w:r>
        <w:rPr>
          <w:rFonts w:hint="eastAsia" w:eastAsia="宋体" w:cs="宋体"/>
          <w:color w:val="auto"/>
          <w:sz w:val="24"/>
          <w:szCs w:val="24"/>
          <w:highlight w:val="none"/>
          <w:lang w:val="en-US" w:eastAsia="zh-CN"/>
        </w:rPr>
        <w:t>共振点补偿</w:t>
      </w:r>
      <w:r>
        <w:rPr>
          <w:rFonts w:hint="eastAsia" w:ascii="宋体" w:hAns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②加工5根曲轴，100%使用买方专用Adocle测量仪进行波纹度、振纹检测合格。</w:t>
      </w:r>
    </w:p>
    <w:p>
      <w:pPr>
        <w:pStyle w:val="2"/>
        <w:widowControl w:val="0"/>
        <w:numPr>
          <w:ilvl w:val="0"/>
          <w:numId w:val="0"/>
        </w:numPr>
        <w:tabs>
          <w:tab w:val="left" w:pos="840"/>
        </w:tabs>
        <w:suppressAutoHyphens/>
        <w:bidi w:val="0"/>
        <w:spacing w:before="0" w:after="0"/>
        <w:jc w:val="center"/>
      </w:pPr>
      <w:r>
        <w:drawing>
          <wp:inline distT="0" distB="0" distL="114300" distR="114300">
            <wp:extent cx="4445000" cy="1163320"/>
            <wp:effectExtent l="0" t="0" r="1270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5"/>
                    <a:stretch>
                      <a:fillRect/>
                    </a:stretch>
                  </pic:blipFill>
                  <pic:spPr>
                    <a:xfrm>
                      <a:off x="0" y="0"/>
                      <a:ext cx="4445000" cy="1163320"/>
                    </a:xfrm>
                    <a:prstGeom prst="rect">
                      <a:avLst/>
                    </a:prstGeom>
                    <a:noFill/>
                    <a:ln>
                      <a:noFill/>
                    </a:ln>
                  </pic:spPr>
                </pic:pic>
              </a:graphicData>
            </a:graphic>
          </wp:inline>
        </w:drawing>
      </w:r>
    </w:p>
    <w:p>
      <w:pPr>
        <w:pStyle w:val="2"/>
        <w:widowControl w:val="0"/>
        <w:numPr>
          <w:ilvl w:val="0"/>
          <w:numId w:val="0"/>
        </w:numPr>
        <w:tabs>
          <w:tab w:val="left" w:pos="840"/>
        </w:tabs>
        <w:suppressAutoHyphens/>
        <w:bidi w:val="0"/>
        <w:spacing w:before="0" w:after="0"/>
        <w:ind w:leftChars="500"/>
        <w:jc w:val="both"/>
        <w:rPr>
          <w:rFonts w:hint="default" w:ascii="Times New Roman" w:hAnsi="Times New Roman" w:eastAsia="宋体" w:cs="Times New Roman"/>
          <w:color w:val="000000"/>
          <w:kern w:val="2"/>
          <w:sz w:val="24"/>
          <w:szCs w:val="20"/>
          <w:highlight w:val="none"/>
          <w:lang w:val="en-US" w:eastAsia="zh-CN" w:bidi="ar-SA"/>
        </w:rPr>
      </w:pPr>
      <w:r>
        <w:rPr>
          <w:rFonts w:hint="eastAsia" w:ascii="Times New Roman" w:hAnsi="Times New Roman" w:eastAsia="宋体" w:cs="Times New Roman"/>
          <w:color w:val="000000"/>
          <w:kern w:val="2"/>
          <w:sz w:val="24"/>
          <w:szCs w:val="20"/>
          <w:highlight w:val="none"/>
          <w:lang w:val="en-US" w:eastAsia="zh-CN" w:bidi="ar-SA"/>
        </w:rPr>
        <w:t>振纹检测标准：依据买方专用Adocle测量仪检测程序判定。</w:t>
      </w:r>
    </w:p>
    <w:p>
      <w:pPr>
        <w:pStyle w:val="2"/>
        <w:numPr>
          <w:ilvl w:val="0"/>
          <w:numId w:val="0"/>
        </w:numPr>
        <w:ind w:left="480" w:leftChars="0"/>
        <w:rPr>
          <w:rFonts w:hint="eastAsia" w:ascii="宋体" w:hAnsi="宋体" w:eastAsia="宋体" w:cs="宋体"/>
          <w:color w:val="FF0000"/>
          <w:sz w:val="24"/>
          <w:szCs w:val="24"/>
          <w:highlight w:val="none"/>
          <w:lang w:val="en-US" w:eastAsia="zh-CN"/>
        </w:rPr>
      </w:pPr>
    </w:p>
    <w:p>
      <w:pPr>
        <w:pStyle w:val="2"/>
        <w:numPr>
          <w:ilvl w:val="0"/>
          <w:numId w:val="0"/>
        </w:numPr>
        <w:ind w:left="480" w:leftChars="0"/>
        <w:rPr>
          <w:rFonts w:hint="eastAsia" w:ascii="宋体" w:hAnsi="宋体" w:eastAsia="宋体" w:cs="宋体"/>
          <w:color w:val="FF0000"/>
          <w:sz w:val="24"/>
          <w:szCs w:val="24"/>
          <w:highlight w:val="none"/>
          <w:lang w:val="en-US" w:eastAsia="zh-CN"/>
        </w:rPr>
      </w:pPr>
    </w:p>
    <w:p>
      <w:pPr>
        <w:pStyle w:val="2"/>
        <w:numPr>
          <w:ilvl w:val="0"/>
          <w:numId w:val="14"/>
        </w:numPr>
        <w:ind w:left="840" w:leftChars="0" w:hanging="36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其余</w:t>
      </w:r>
      <w:r>
        <w:rPr>
          <w:rFonts w:hint="eastAsia"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台磨床做功能性测试，具体要求：</w:t>
      </w:r>
      <w:r>
        <w:rPr>
          <w:rFonts w:hint="eastAsia" w:eastAsia="宋体" w:cs="宋体"/>
          <w:color w:val="auto"/>
          <w:sz w:val="24"/>
          <w:szCs w:val="24"/>
          <w:highlight w:val="none"/>
          <w:lang w:val="en-US" w:eastAsia="zh-CN"/>
        </w:rPr>
        <w:t>①</w:t>
      </w:r>
      <w:r>
        <w:rPr>
          <w:rFonts w:hint="eastAsia" w:ascii="宋体" w:hAnsi="宋体" w:eastAsia="宋体" w:cs="宋体"/>
          <w:color w:val="auto"/>
          <w:sz w:val="24"/>
          <w:szCs w:val="24"/>
          <w:highlight w:val="none"/>
        </w:rPr>
        <w:t>具备</w:t>
      </w:r>
      <w:r>
        <w:rPr>
          <w:rFonts w:hint="eastAsia" w:ascii="宋体" w:hAnsi="宋体" w:eastAsia="宋体" w:cs="宋体"/>
          <w:color w:val="auto"/>
          <w:sz w:val="24"/>
          <w:szCs w:val="24"/>
          <w:highlight w:val="none"/>
          <w:lang w:val="en-US" w:eastAsia="zh-CN"/>
        </w:rPr>
        <w:t>共振点补偿</w:t>
      </w:r>
      <w:r>
        <w:rPr>
          <w:rFonts w:hint="eastAsia" w:eastAsia="宋体" w:cs="宋体"/>
          <w:color w:val="auto"/>
          <w:sz w:val="24"/>
          <w:szCs w:val="24"/>
          <w:highlight w:val="none"/>
          <w:lang w:val="en-US" w:eastAsia="zh-CN"/>
        </w:rPr>
        <w:t>功能</w:t>
      </w:r>
      <w:r>
        <w:rPr>
          <w:rFonts w:hint="eastAsia" w:ascii="宋体" w:hAnsi="宋体" w:eastAsia="宋体" w:cs="宋体"/>
          <w:color w:val="auto"/>
          <w:sz w:val="24"/>
          <w:szCs w:val="24"/>
          <w:highlight w:val="none"/>
          <w:lang w:val="en-US" w:eastAsia="zh-CN"/>
        </w:rPr>
        <w:t>，具备</w:t>
      </w:r>
      <w:r>
        <w:rPr>
          <w:rFonts w:hint="eastAsia" w:eastAsia="宋体" w:cs="宋体"/>
          <w:color w:val="auto"/>
          <w:sz w:val="24"/>
          <w:szCs w:val="24"/>
          <w:highlight w:val="none"/>
          <w:lang w:val="en-US" w:eastAsia="zh-CN"/>
        </w:rPr>
        <w:t>补偿</w:t>
      </w:r>
      <w:r>
        <w:rPr>
          <w:rFonts w:hint="eastAsia" w:ascii="宋体" w:hAnsi="宋体" w:eastAsia="宋体" w:cs="宋体"/>
          <w:color w:val="auto"/>
          <w:sz w:val="24"/>
          <w:szCs w:val="24"/>
          <w:highlight w:val="none"/>
          <w:lang w:val="en-US" w:eastAsia="zh-CN"/>
        </w:rPr>
        <w:t>参数设置调整界面，可通过更改参数实现更改</w:t>
      </w:r>
      <w:r>
        <w:rPr>
          <w:rFonts w:hint="eastAsia" w:eastAsia="宋体" w:cs="宋体"/>
          <w:color w:val="auto"/>
          <w:sz w:val="24"/>
          <w:szCs w:val="24"/>
          <w:highlight w:val="none"/>
          <w:lang w:val="en-US" w:eastAsia="zh-CN"/>
        </w:rPr>
        <w:t>共振点补偿</w:t>
      </w:r>
      <w:r>
        <w:rPr>
          <w:rFonts w:hint="eastAsia" w:ascii="宋体" w:hAnsi="宋体" w:eastAsia="宋体" w:cs="宋体"/>
          <w:color w:val="auto"/>
          <w:sz w:val="24"/>
          <w:szCs w:val="24"/>
          <w:highlight w:val="none"/>
          <w:lang w:val="en-US" w:eastAsia="zh-CN"/>
        </w:rPr>
        <w:t>。</w:t>
      </w:r>
    </w:p>
    <w:p>
      <w:pPr>
        <w:numPr>
          <w:ilvl w:val="0"/>
          <w:numId w:val="14"/>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 xml:space="preserve"> 在整个验收过程中发生关键零部件损坏或重大故障，视作验收失败。</w:t>
      </w:r>
    </w:p>
    <w:p>
      <w:pPr>
        <w:numPr>
          <w:ilvl w:val="0"/>
          <w:numId w:val="14"/>
        </w:numPr>
        <w:adjustRightInd w:val="0"/>
        <w:snapToGrid w:val="0"/>
        <w:spacing w:line="420" w:lineRule="exact"/>
        <w:ind w:left="840" w:leftChars="0" w:hanging="360" w:firstLineChars="0"/>
        <w:rPr>
          <w:rFonts w:hint="eastAsia" w:ascii="Times New Roman" w:hAnsi="Times New Roman" w:eastAsia="宋体" w:cs="Times New Roman"/>
          <w:color w:val="000000"/>
          <w:sz w:val="24"/>
          <w:szCs w:val="20"/>
          <w:highlight w:val="none"/>
          <w:lang w:val="en-US" w:eastAsia="zh-CN"/>
        </w:rPr>
      </w:pPr>
      <w:r>
        <w:rPr>
          <w:rFonts w:hint="eastAsia" w:ascii="Times New Roman" w:hAnsi="Times New Roman" w:eastAsia="宋体" w:cs="Times New Roman"/>
          <w:color w:val="000000"/>
          <w:sz w:val="24"/>
          <w:szCs w:val="20"/>
          <w:highlight w:val="none"/>
          <w:lang w:val="en-US" w:eastAsia="zh-CN"/>
        </w:rPr>
        <w:t>终验收通过后买卖双方共同签署终验收报告，并移交、核对全部供货范围内物品。</w:t>
      </w: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pStyle w:val="2"/>
        <w:rPr>
          <w:rFonts w:ascii="宋体" w:hAnsi="宋体" w:eastAsia="宋体"/>
          <w:b/>
          <w:color w:val="000000"/>
          <w:kern w:val="44"/>
          <w:sz w:val="30"/>
          <w:szCs w:val="24"/>
          <w:highlight w:val="none"/>
        </w:rPr>
      </w:pPr>
    </w:p>
    <w:p>
      <w:pPr>
        <w:keepNext/>
        <w:keepLines/>
        <w:jc w:val="center"/>
        <w:outlineLvl w:val="0"/>
        <w:rPr>
          <w:rFonts w:ascii="宋体" w:hAnsi="宋体" w:eastAsia="宋体"/>
          <w:b/>
          <w:color w:val="000000"/>
          <w:kern w:val="44"/>
          <w:sz w:val="30"/>
          <w:szCs w:val="24"/>
          <w:highlight w:val="none"/>
        </w:rPr>
      </w:pPr>
      <w:bookmarkStart w:id="47" w:name="_Toc15789"/>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六</w:t>
      </w:r>
      <w:r>
        <w:rPr>
          <w:rFonts w:ascii="宋体" w:hAnsi="宋体" w:eastAsia="宋体"/>
          <w:b/>
          <w:color w:val="000000"/>
          <w:kern w:val="44"/>
          <w:sz w:val="30"/>
          <w:szCs w:val="24"/>
          <w:highlight w:val="none"/>
        </w:rPr>
        <w:t>章  投标技术档一般要求</w:t>
      </w:r>
      <w:bookmarkEnd w:id="47"/>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一、技术档一般内容要求</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1、投标方应认真阅读招标档和本技术标书，并按要求编写投标技术档。</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2、投标技术档至少应对投标货物的功能用途、技术性能、质量标准、技术参数等作出详细说明。</w:t>
      </w:r>
    </w:p>
    <w:p>
      <w:pPr>
        <w:adjustRightInd w:val="0"/>
        <w:snapToGrid w:val="0"/>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3、投标技术档至少应根据投标货物的关键设备、总成、零部件或系统作出满足或优于招标档要求的详细说明。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4、投标技术档至少应按照招标档要求（或投标方建议）列明备品备件、易损件和专用耗材明细。</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5、投标方应当而且必须分别说明所列备品备件、易损件和专用耗材的使用寿命（以有效工作小时数说明）。</w:t>
      </w:r>
    </w:p>
    <w:p>
      <w:pPr>
        <w:spacing w:line="420" w:lineRule="exact"/>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6</w:t>
      </w:r>
      <w:r>
        <w:rPr>
          <w:rFonts w:hint="eastAsia" w:ascii="Times New Roman" w:hAnsi="Times New Roman" w:eastAsia="宋体" w:cs="Times New Roman"/>
          <w:color w:val="000000"/>
          <w:sz w:val="24"/>
          <w:szCs w:val="24"/>
          <w:highlight w:val="none"/>
        </w:rPr>
        <w:t>、</w:t>
      </w:r>
      <w:r>
        <w:rPr>
          <w:rFonts w:ascii="Times New Roman" w:hAnsi="Times New Roman" w:eastAsia="宋体" w:cs="Times New Roman"/>
          <w:color w:val="000000"/>
          <w:sz w:val="24"/>
          <w:szCs w:val="24"/>
          <w:highlight w:val="none"/>
        </w:rPr>
        <w:t>“开标一览表”和“明细表”仅作为投标方编制投标技术档的一般格式。其中序号编写应当便于招标方了解分类或分项货物之间的所属关系，如1、1.1、1.2。</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7、</w:t>
      </w:r>
      <w:r>
        <w:rPr>
          <w:rFonts w:ascii="Times New Roman" w:hAnsi="Times New Roman" w:eastAsia="宋体" w:cs="Times New Roman"/>
          <w:color w:val="000000"/>
          <w:sz w:val="24"/>
          <w:szCs w:val="24"/>
          <w:highlight w:val="none"/>
        </w:rPr>
        <w:t>应当尽可能将货物的配置列全、列细，这将有助于投标方胜出。</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8、</w:t>
      </w:r>
      <w:r>
        <w:rPr>
          <w:rFonts w:ascii="Times New Roman" w:hAnsi="Times New Roman" w:eastAsia="宋体" w:cs="Times New Roman"/>
          <w:color w:val="000000"/>
          <w:sz w:val="24"/>
          <w:szCs w:val="24"/>
          <w:highlight w:val="none"/>
        </w:rPr>
        <w:t>单价与总价之间、总价与分类小计价之间、分类小计价与合计价之间数据应当齐全而且准确。</w:t>
      </w:r>
    </w:p>
    <w:p>
      <w:pPr>
        <w:spacing w:line="420" w:lineRule="exact"/>
        <w:ind w:firstLine="480" w:firstLineChars="200"/>
        <w:rPr>
          <w:rFonts w:ascii="Times New Roman" w:hAnsi="Times New Roman"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9、</w:t>
      </w:r>
      <w:r>
        <w:rPr>
          <w:rFonts w:ascii="Times New Roman" w:hAnsi="Times New Roman" w:eastAsia="宋体" w:cs="Times New Roman"/>
          <w:color w:val="000000"/>
          <w:sz w:val="24"/>
          <w:szCs w:val="24"/>
          <w:highlight w:val="none"/>
        </w:rPr>
        <w:t>本条款表格中的制造商，应当为全称或公认的简称。</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二、技术档中货物报价格式要求</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技术档中，如未按照要求编写、或者存在漏项和缺项，将有可能造成对投标方不必要的误解；必要时，漏项和缺项涉及的费用，将有可能以其他投标方中，相同或相似项目的最高价，计入投标方的投标总报价之内，作为评标的依据之一。</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2、如果投标总报价与其它价格出现错误或不一致，将有可能导致废标。</w:t>
      </w:r>
    </w:p>
    <w:p>
      <w:pPr>
        <w:spacing w:line="420" w:lineRule="exact"/>
        <w:ind w:firstLine="480" w:firstLineChars="200"/>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w:t>
      </w:r>
      <w:r>
        <w:rPr>
          <w:rFonts w:ascii="Times New Roman" w:hAnsi="Times New Roman" w:eastAsia="宋体" w:cs="Times New Roman"/>
          <w:color w:val="000000"/>
          <w:sz w:val="24"/>
          <w:szCs w:val="20"/>
          <w:highlight w:val="none"/>
        </w:rPr>
        <w:t>、要求投标总报价、分项报价、明细报价之间应当具有相互间对应关系以及填报分项和明细报价，仅为便于评标而不妨碍投标人以最合适的形式签署合同。</w:t>
      </w:r>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三、验收标准及内容要求</w:t>
      </w:r>
    </w:p>
    <w:p>
      <w:pPr>
        <w:spacing w:line="420" w:lineRule="exact"/>
        <w:ind w:firstLine="480" w:firstLineChars="200"/>
        <w:rPr>
          <w:rFonts w:hint="eastAsia"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除招标档明确的验收标准或内容之外，投标方应当在投标档中提供预验收（必要时）和终验收的标准以及规程；在合同签定之前，经投标方和招标方双方洽谈确认并签署，以作为验收标准执行。</w:t>
      </w:r>
    </w:p>
    <w:p>
      <w:pPr>
        <w:spacing w:line="420" w:lineRule="exact"/>
        <w:ind w:firstLine="480" w:firstLineChars="200"/>
        <w:rPr>
          <w:rFonts w:hint="eastAsia" w:ascii="Times New Roman" w:hAnsi="Times New Roman" w:eastAsia="宋体" w:cs="Times New Roman"/>
          <w:color w:val="000000"/>
          <w:sz w:val="24"/>
          <w:szCs w:val="20"/>
          <w:highlight w:val="none"/>
        </w:rPr>
        <w:sectPr>
          <w:headerReference r:id="rId14" w:type="default"/>
          <w:footerReference r:id="rId15" w:type="default"/>
          <w:pgSz w:w="11906" w:h="16838"/>
          <w:pgMar w:top="1588" w:right="1418" w:bottom="1134" w:left="1418" w:header="851" w:footer="794" w:gutter="0"/>
          <w:pgNumType w:fmt="decimal"/>
          <w:cols w:space="720" w:num="1"/>
          <w:titlePg/>
          <w:docGrid w:type="lines" w:linePitch="312" w:charSpace="0"/>
        </w:sectPr>
      </w:pPr>
    </w:p>
    <w:p>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outlineLvl w:val="0"/>
        <w:rPr>
          <w:rFonts w:ascii="宋体" w:hAnsi="宋体" w:eastAsia="宋体"/>
          <w:b/>
          <w:color w:val="000000"/>
          <w:kern w:val="44"/>
          <w:sz w:val="30"/>
          <w:szCs w:val="24"/>
          <w:highlight w:val="none"/>
        </w:rPr>
      </w:pPr>
      <w:bookmarkStart w:id="48" w:name="_Toc12434"/>
      <w:r>
        <w:rPr>
          <w:rFonts w:ascii="宋体" w:hAnsi="宋体" w:eastAsia="宋体"/>
          <w:b/>
          <w:color w:val="000000"/>
          <w:kern w:val="44"/>
          <w:sz w:val="30"/>
          <w:szCs w:val="24"/>
          <w:highlight w:val="none"/>
        </w:rPr>
        <w:t>第</w:t>
      </w:r>
      <w:r>
        <w:rPr>
          <w:rFonts w:hint="eastAsia" w:ascii="宋体" w:hAnsi="宋体" w:eastAsia="宋体"/>
          <w:b/>
          <w:color w:val="000000"/>
          <w:kern w:val="44"/>
          <w:sz w:val="30"/>
          <w:szCs w:val="24"/>
          <w:highlight w:val="none"/>
        </w:rPr>
        <w:t>七</w:t>
      </w:r>
      <w:r>
        <w:rPr>
          <w:rFonts w:ascii="宋体" w:hAnsi="宋体" w:eastAsia="宋体"/>
          <w:b/>
          <w:color w:val="000000"/>
          <w:kern w:val="44"/>
          <w:sz w:val="30"/>
          <w:szCs w:val="24"/>
          <w:highlight w:val="none"/>
        </w:rPr>
        <w:t>章  其他要求及说明</w:t>
      </w:r>
      <w:bookmarkEnd w:id="48"/>
    </w:p>
    <w:p>
      <w:pPr>
        <w:spacing w:line="420" w:lineRule="exact"/>
        <w:ind w:firstLine="480" w:firstLineChars="200"/>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一、要求</w:t>
      </w:r>
      <w:r>
        <w:rPr>
          <w:rFonts w:hint="eastAsia" w:ascii="黑体" w:hAnsi="黑体" w:eastAsia="黑体" w:cs="黑体"/>
          <w:i/>
          <w:iCs/>
          <w:color w:val="000000"/>
          <w:sz w:val="24"/>
          <w:szCs w:val="20"/>
          <w:highlight w:val="none"/>
          <w:lang w:eastAsia="zh-CN"/>
        </w:rPr>
        <w:t>（</w:t>
      </w:r>
      <w:r>
        <w:rPr>
          <w:rFonts w:hint="eastAsia" w:ascii="宋体" w:hAnsi="宋体" w:eastAsia="宋体" w:cs="宋体"/>
          <w:i/>
          <w:iCs/>
          <w:color w:val="auto"/>
          <w:sz w:val="24"/>
          <w:szCs w:val="24"/>
          <w:highlight w:val="none"/>
        </w:rPr>
        <w:t>本项目涉及到的</w:t>
      </w:r>
      <w:r>
        <w:rPr>
          <w:rFonts w:hint="eastAsia" w:ascii="宋体" w:hAnsi="宋体" w:eastAsia="宋体" w:cs="宋体"/>
          <w:i/>
          <w:iCs/>
          <w:color w:val="auto"/>
          <w:sz w:val="24"/>
          <w:szCs w:val="24"/>
          <w:highlight w:val="none"/>
          <w:lang w:val="en-US" w:eastAsia="zh-CN"/>
        </w:rPr>
        <w:t>，</w:t>
      </w:r>
      <w:r>
        <w:rPr>
          <w:rFonts w:hint="eastAsia" w:ascii="宋体" w:hAnsi="宋体" w:eastAsia="宋体" w:cs="宋体"/>
          <w:i/>
          <w:iCs/>
          <w:color w:val="auto"/>
          <w:sz w:val="24"/>
          <w:szCs w:val="24"/>
          <w:highlight w:val="none"/>
        </w:rPr>
        <w:t>按下列要求执行</w:t>
      </w:r>
      <w:r>
        <w:rPr>
          <w:rFonts w:hint="eastAsia" w:ascii="宋体" w:hAnsi="宋体" w:eastAsia="宋体" w:cs="宋体"/>
          <w:i/>
          <w:iCs/>
          <w:color w:val="auto"/>
          <w:sz w:val="24"/>
          <w:szCs w:val="24"/>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为保证本技术标书所列采购货物的质量以及先进性、可靠性、经济性和实用性，要求投标方在投标档中，至少应具备以下资格证明档或资料：</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1、投标方应是独立法人或得到法人授权的机构。应当在投标档中提供法人营业执照（复印件）、税务登记证以及组织机构代码证（国际供应商参考该要求提供有效证明档），并保证其真实性和有效性。</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2、投标方应当是通过有关资格认证的法人。应当在投标档中提供有效期内的资格认证证书，如：ISO9001、VDA6.1、QS9000等。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3、国产设备应附有采购货物（或设备）涉及的由“中国质量认证中心”颁发的《中国国家强制性产品认证证书》（CCC证书）。</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4、应附有其他与投标单位、采购货物有关的荣誉证书或资料。</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5、必须附有投标货物涉及产品要求的、国家或行业管理规定要求的、或者投标方认为能够体现其投标货物合法性及先进性的最高级别的证明材料（投标货物不涉及的除外）：</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国家相关机构颁发的有效期之内所必需的《生产许可证》。</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2</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产品（或技术）鉴定报告/证书、专利证书或专利许可证书、新技术成果证书等。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3</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产品相关检验、试验报告，如：型式试验检验报告、安全试验检验报告、电弧效应试验报告、噪声检测报告等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4</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其他能够证明所供货物的质量水平、技术水平、安全性水平、节能性水平、环保性水平等相关的其他证明档或资料、报告等。</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lang w:eastAsia="zh-CN"/>
        </w:rPr>
      </w:pP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lang w:val="en-US" w:eastAsia="zh-CN"/>
        </w:rPr>
        <w:t>5</w:t>
      </w:r>
      <w:r>
        <w:rPr>
          <w:rFonts w:hint="eastAsia" w:ascii="宋体" w:hAnsi="宋体" w:eastAsia="宋体" w:cs="宋体"/>
          <w:color w:val="000000"/>
          <w:sz w:val="24"/>
          <w:szCs w:val="20"/>
          <w:highlight w:val="none"/>
          <w:lang w:eastAsia="zh-CN"/>
        </w:rPr>
        <w:t>）</w:t>
      </w:r>
      <w:r>
        <w:rPr>
          <w:rFonts w:hint="eastAsia" w:ascii="宋体" w:hAnsi="宋体" w:eastAsia="宋体" w:cs="宋体"/>
          <w:color w:val="000000"/>
          <w:sz w:val="24"/>
          <w:szCs w:val="20"/>
          <w:highlight w:val="none"/>
        </w:rPr>
        <w:t>该类报告或证明材料对于投标方胜出乃至中标极为重要</w:t>
      </w:r>
      <w:r>
        <w:rPr>
          <w:rFonts w:hint="eastAsia" w:ascii="宋体" w:hAnsi="宋体" w:eastAsia="宋体" w:cs="宋体"/>
          <w:color w:val="000000"/>
          <w:sz w:val="24"/>
          <w:szCs w:val="20"/>
          <w:highlight w:val="none"/>
          <w:lang w:eastAsia="zh-CN"/>
        </w:rPr>
        <w:t>。</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0"/>
          <w:highlight w:val="none"/>
        </w:rPr>
      </w:pPr>
      <w:r>
        <w:rPr>
          <w:rFonts w:hint="eastAsia" w:ascii="宋体" w:hAnsi="宋体" w:eastAsia="宋体" w:cs="宋体"/>
          <w:color w:val="000000"/>
          <w:sz w:val="24"/>
          <w:szCs w:val="20"/>
          <w:highlight w:val="none"/>
        </w:rPr>
        <w:t>6、必须附有：202</w:t>
      </w:r>
      <w:r>
        <w:rPr>
          <w:rFonts w:hint="eastAsia" w:ascii="宋体" w:hAnsi="宋体" w:eastAsia="宋体" w:cs="宋体"/>
          <w:color w:val="000000"/>
          <w:sz w:val="24"/>
          <w:szCs w:val="20"/>
          <w:highlight w:val="none"/>
          <w:lang w:val="en-US" w:eastAsia="zh-CN"/>
        </w:rPr>
        <w:t>1</w:t>
      </w:r>
      <w:r>
        <w:rPr>
          <w:rFonts w:hint="eastAsia" w:ascii="宋体" w:hAnsi="宋体" w:eastAsia="宋体" w:cs="宋体"/>
          <w:color w:val="000000"/>
          <w:sz w:val="24"/>
          <w:szCs w:val="20"/>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rPr>
          <w:rFonts w:hint="eastAsia" w:ascii="黑体" w:hAnsi="黑体" w:eastAsia="黑体" w:cs="黑体"/>
          <w:color w:val="000000"/>
          <w:sz w:val="24"/>
          <w:szCs w:val="20"/>
          <w:highlight w:val="none"/>
        </w:rPr>
      </w:pPr>
      <w:r>
        <w:rPr>
          <w:rFonts w:hint="eastAsia" w:ascii="黑体" w:hAnsi="黑体" w:eastAsia="黑体" w:cs="黑体"/>
          <w:color w:val="000000"/>
          <w:sz w:val="24"/>
          <w:szCs w:val="20"/>
          <w:highlight w:val="none"/>
        </w:rPr>
        <w:t>二、说明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1、投标方可以根据自身的技术、经验等优势以及对招标档和本技术标书的理解，写明对招标方所采购货物的优化方案或建议意见。投标方的这些努力，招标方表示感谢，并将有助于投标方优先胜出。</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ascii="Times New Roman" w:hAnsi="Times New Roman" w:eastAsia="宋体" w:cs="Times New Roman"/>
          <w:color w:val="000000"/>
          <w:sz w:val="24"/>
          <w:szCs w:val="20"/>
          <w:highlight w:val="none"/>
        </w:rPr>
        <w:t>2、即使有建议意见或建议方案，仍应依据招标档和本技术标书要求，编写符合要求的投标档。建议方案或建议意见，应以单独篇章或档，予以说明和报价。</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3</w:t>
      </w:r>
      <w:r>
        <w:rPr>
          <w:rFonts w:ascii="Times New Roman" w:hAnsi="Times New Roman" w:eastAsia="宋体" w:cs="Times New Roman"/>
          <w:color w:val="000000"/>
          <w:sz w:val="24"/>
          <w:szCs w:val="20"/>
          <w:highlight w:val="none"/>
        </w:rPr>
        <w:t>、招标档、投标档、答疑档、技术交流档、技术协议书等，在采购过程全部为有效档，如有差异，以对招标方最有利的条款为准。</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sz w:val="24"/>
          <w:szCs w:val="20"/>
          <w:highlight w:val="none"/>
        </w:rPr>
      </w:pPr>
      <w:r>
        <w:rPr>
          <w:rFonts w:hint="eastAsia" w:ascii="Times New Roman" w:hAnsi="Times New Roman" w:eastAsia="宋体" w:cs="Times New Roman"/>
          <w:color w:val="000000"/>
          <w:sz w:val="24"/>
          <w:szCs w:val="20"/>
          <w:highlight w:val="none"/>
        </w:rPr>
        <w:t>4、为避免歧义，本技术标书涉及招投标环节的条款，均将潜在的卖方称为投标方、将买方称为招标方；定标后合同签署环节以及后续的合同执行环节条款，招标方称为买方、投标方中的中标方称为卖方。</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highlight w:val="none"/>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420" w:firstLineChars="200"/>
        <w:jc w:val="both"/>
        <w:textAlignment w:val="auto"/>
        <w:rPr>
          <w:highlight w:val="none"/>
        </w:rPr>
      </w:pPr>
    </w:p>
    <w:p>
      <w:pPr>
        <w:pStyle w:val="2"/>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auto"/>
        <w:rPr>
          <w:rFonts w:hint="default" w:eastAsia="宋体" w:cs="Times New Roman"/>
          <w:b/>
          <w:color w:val="000000"/>
          <w:sz w:val="24"/>
          <w:szCs w:val="24"/>
          <w:highlight w:val="none"/>
          <w:lang w:val="en-US"/>
        </w:rPr>
      </w:pPr>
      <w:r>
        <w:rPr>
          <w:rFonts w:hint="eastAsia" w:eastAsia="宋体"/>
          <w:b/>
          <w:bCs/>
          <w:sz w:val="24"/>
          <w:szCs w:val="28"/>
          <w:highlight w:val="none"/>
          <w:lang w:val="en-US" w:eastAsia="zh-CN"/>
        </w:rPr>
        <w:t>技术部分答疑人：李图河 13245314315</w:t>
      </w:r>
    </w:p>
    <w:p>
      <w:pPr>
        <w:pStyle w:val="2"/>
        <w:keepNext w:val="0"/>
        <w:keepLines w:val="0"/>
        <w:pageBreakBefore w:val="0"/>
        <w:widowControl w:val="0"/>
        <w:kinsoku/>
        <w:wordWrap/>
        <w:overflowPunct w:val="0"/>
        <w:topLinePunct w:val="0"/>
        <w:autoSpaceDE/>
        <w:autoSpaceDN/>
        <w:bidi w:val="0"/>
        <w:adjustRightInd/>
        <w:snapToGrid/>
        <w:spacing w:line="360" w:lineRule="auto"/>
        <w:ind w:firstLine="720" w:firstLineChars="200"/>
        <w:jc w:val="both"/>
        <w:textAlignment w:val="auto"/>
        <w:rPr>
          <w:rFonts w:hint="default" w:eastAsia="宋体"/>
          <w:highlight w:val="none"/>
          <w:lang w:val="en-US" w:eastAsia="zh-CN"/>
        </w:rPr>
        <w:sectPr>
          <w:footerReference r:id="rId17" w:type="first"/>
          <w:footerReference r:id="rId16" w:type="default"/>
          <w:pgSz w:w="11906" w:h="16838"/>
          <w:pgMar w:top="1588" w:right="1418" w:bottom="1134" w:left="1418" w:header="851" w:footer="992" w:gutter="0"/>
          <w:pgNumType w:fmt="decimal"/>
          <w:cols w:space="720" w:num="1"/>
          <w:titlePg/>
          <w:docGrid w:linePitch="312" w:charSpace="0"/>
        </w:sectPr>
      </w:pPr>
      <w:r>
        <w:rPr>
          <w:rFonts w:eastAsia="黑体"/>
          <w:bCs/>
          <w:color w:val="000000"/>
          <w:kern w:val="44"/>
          <w:sz w:val="36"/>
          <w:szCs w:val="24"/>
          <w:highlight w:val="none"/>
        </w:rPr>
        <w:br w:type="page"/>
      </w:r>
    </w:p>
    <w:p>
      <w:pPr>
        <w:numPr>
          <w:ilvl w:val="0"/>
          <w:numId w:val="0"/>
        </w:numPr>
        <w:spacing w:line="360" w:lineRule="auto"/>
        <w:jc w:val="center"/>
        <w:outlineLvl w:val="0"/>
        <w:rPr>
          <w:rFonts w:ascii="宋体" w:hAnsi="宋体" w:eastAsia="宋体" w:cs="Times New Roman"/>
          <w:b/>
          <w:sz w:val="36"/>
          <w:szCs w:val="36"/>
          <w:highlight w:val="none"/>
        </w:rPr>
      </w:pPr>
      <w:bookmarkStart w:id="49" w:name="_Toc11699"/>
      <w:r>
        <w:rPr>
          <w:rFonts w:ascii="宋体" w:hAnsi="宋体" w:eastAsia="宋体" w:cs="Times New Roman"/>
          <w:b/>
          <w:sz w:val="36"/>
          <w:szCs w:val="36"/>
          <w:highlight w:val="none"/>
        </w:rPr>
        <w:t>第五部分 设备采购合同</w:t>
      </w:r>
      <w:bookmarkEnd w:id="49"/>
    </w:p>
    <w:p>
      <w:pPr>
        <w:snapToGrid w:val="0"/>
        <w:spacing w:line="360" w:lineRule="auto"/>
        <w:jc w:val="left"/>
        <w:rPr>
          <w:rFonts w:ascii="宋体" w:hAnsi="宋体"/>
          <w:sz w:val="20"/>
          <w:szCs w:val="20"/>
          <w:highlight w:val="none"/>
        </w:rPr>
      </w:pPr>
      <w:r>
        <w:rPr>
          <w:rFonts w:ascii="宋体" w:hAnsi="宋体" w:eastAsia="宋体"/>
          <w:sz w:val="20"/>
          <w:szCs w:val="20"/>
          <w:highlight w:val="none"/>
        </w:rPr>
        <w:t xml:space="preserve">                                        </w:t>
      </w:r>
    </w:p>
    <w:p>
      <w:pPr>
        <w:snapToGrid w:val="0"/>
        <w:spacing w:line="360" w:lineRule="auto"/>
        <w:jc w:val="center"/>
        <w:rPr>
          <w:rFonts w:ascii="方正小标宋简体" w:hAnsi="方正小标宋简体" w:eastAsia="方正小标宋简体"/>
          <w:sz w:val="24"/>
          <w:szCs w:val="24"/>
          <w:highlight w:val="none"/>
        </w:rPr>
      </w:pPr>
      <w:r>
        <w:rPr>
          <w:rFonts w:hint="eastAsia" w:ascii="方正小标宋简体" w:hAnsi="方正小标宋简体" w:eastAsia="宋体"/>
          <w:sz w:val="24"/>
          <w:szCs w:val="24"/>
          <w:highlight w:val="none"/>
          <w:lang w:val="en-US" w:eastAsia="zh-CN"/>
        </w:rPr>
        <w:t xml:space="preserve">                                                                            </w:t>
      </w:r>
      <w:r>
        <w:rPr>
          <w:rFonts w:ascii="方正小标宋简体" w:hAnsi="方正小标宋简体" w:eastAsia="宋体"/>
          <w:sz w:val="24"/>
          <w:szCs w:val="24"/>
          <w:highlight w:val="none"/>
        </w:rPr>
        <w:t>编号：</w:t>
      </w:r>
      <w:r>
        <w:rPr>
          <w:rFonts w:ascii="方正小标宋简体" w:hAnsi="方正小标宋简体" w:eastAsia="宋体"/>
          <w:sz w:val="24"/>
          <w:szCs w:val="24"/>
          <w:highlight w:val="none"/>
          <w:u w:val="thick"/>
        </w:rPr>
        <w:t xml:space="preserve">           </w:t>
      </w:r>
      <w:r>
        <w:rPr>
          <w:rFonts w:hint="eastAsia" w:ascii="方正小标宋简体" w:hAnsi="方正小标宋简体" w:eastAsia="宋体"/>
          <w:sz w:val="24"/>
          <w:szCs w:val="24"/>
          <w:highlight w:val="none"/>
          <w:u w:val="thick"/>
          <w:lang w:val="en-US" w:eastAsia="zh-CN"/>
        </w:rPr>
        <w:t xml:space="preserve">    </w:t>
      </w:r>
      <w:r>
        <w:rPr>
          <w:rFonts w:ascii="方正小标宋简体" w:hAnsi="方正小标宋简体" w:eastAsia="宋体"/>
          <w:sz w:val="24"/>
          <w:szCs w:val="24"/>
          <w:highlight w:val="none"/>
          <w:u w:val="thick"/>
        </w:rPr>
        <w:t xml:space="preserve">       </w:t>
      </w:r>
    </w:p>
    <w:p>
      <w:pPr>
        <w:snapToGrid w:val="0"/>
        <w:spacing w:line="360" w:lineRule="auto"/>
        <w:jc w:val="left"/>
        <w:rPr>
          <w:rFonts w:ascii="宋体" w:hAnsi="宋体"/>
          <w:sz w:val="20"/>
          <w:szCs w:val="20"/>
          <w:highlight w:val="none"/>
        </w:rPr>
      </w:pPr>
    </w:p>
    <w:p>
      <w:pPr>
        <w:snapToGrid w:val="0"/>
        <w:spacing w:line="360" w:lineRule="auto"/>
        <w:jc w:val="center"/>
        <w:rPr>
          <w:rFonts w:ascii="方正小标宋简体" w:hAnsi="方正小标宋简体" w:eastAsia="方正小标宋简体"/>
          <w:bCs/>
          <w:sz w:val="52"/>
          <w:szCs w:val="36"/>
          <w:highlight w:val="none"/>
        </w:rPr>
      </w:pPr>
    </w:p>
    <w:p>
      <w:pPr>
        <w:snapToGrid w:val="0"/>
        <w:spacing w:line="360" w:lineRule="auto"/>
        <w:jc w:val="center"/>
        <w:rPr>
          <w:rFonts w:ascii="方正小标宋简体" w:hAnsi="方正小标宋简体" w:eastAsia="方正小标宋简体"/>
          <w:bCs/>
          <w:sz w:val="52"/>
          <w:szCs w:val="36"/>
          <w:highlight w:val="none"/>
        </w:rPr>
      </w:pPr>
      <w:r>
        <w:rPr>
          <w:rFonts w:ascii="方正小标宋简体" w:hAnsi="方正小标宋简体" w:eastAsia="宋体"/>
          <w:bCs/>
          <w:sz w:val="52"/>
          <w:szCs w:val="36"/>
          <w:highlight w:val="none"/>
        </w:rPr>
        <w:t>设备采购合同（模板）</w:t>
      </w:r>
    </w:p>
    <w:p>
      <w:pPr>
        <w:pStyle w:val="2"/>
        <w:jc w:val="center"/>
        <w:rPr>
          <w:rFonts w:ascii="宋体" w:hAnsi="宋体" w:eastAsia="宋体" w:cs="宋体"/>
          <w:b w:val="0"/>
          <w:sz w:val="24"/>
          <w:szCs w:val="24"/>
          <w:highlight w:val="none"/>
        </w:rPr>
      </w:pPr>
      <w:r>
        <w:rPr>
          <w:rFonts w:eastAsia="宋体" w:cs="宋体"/>
          <w:b/>
          <w:sz w:val="24"/>
          <w:szCs w:val="24"/>
          <w:highlight w:val="none"/>
        </w:rPr>
        <w:t>（合同以双方最终签署的版本为准）</w:t>
      </w: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723"/>
        <w:jc w:val="left"/>
        <w:rPr>
          <w:rFonts w:hint="eastAsia" w:ascii="宋体" w:hAnsi="宋体" w:eastAsia="宋体" w:cs="宋体"/>
          <w:b/>
          <w:sz w:val="24"/>
          <w:szCs w:val="24"/>
          <w:highlight w:val="none"/>
        </w:rPr>
      </w:pPr>
    </w:p>
    <w:p>
      <w:pPr>
        <w:adjustRightInd w:val="0"/>
        <w:snapToGrid w:val="0"/>
        <w:spacing w:line="360" w:lineRule="auto"/>
        <w:ind w:firstLine="1446" w:firstLineChars="6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甲  方：</w:t>
      </w:r>
      <w:r>
        <w:rPr>
          <w:rFonts w:hint="eastAsia" w:ascii="宋体" w:hAnsi="宋体" w:eastAsia="宋体" w:cs="宋体"/>
          <w:b/>
          <w:sz w:val="24"/>
          <w:szCs w:val="24"/>
          <w:highlight w:val="none"/>
          <w:u w:val="thick"/>
        </w:rPr>
        <w:t xml:space="preserve">                           </w:t>
      </w:r>
    </w:p>
    <w:p>
      <w:pPr>
        <w:adjustRightInd w:val="0"/>
        <w:snapToGrid w:val="0"/>
        <w:spacing w:line="360" w:lineRule="auto"/>
        <w:ind w:firstLine="562"/>
        <w:jc w:val="left"/>
        <w:rPr>
          <w:rFonts w:hint="eastAsia" w:ascii="宋体" w:hAnsi="宋体" w:eastAsia="宋体" w:cs="宋体"/>
          <w:b/>
          <w:sz w:val="24"/>
          <w:szCs w:val="24"/>
          <w:highlight w:val="none"/>
        </w:rPr>
      </w:pPr>
    </w:p>
    <w:p>
      <w:pPr>
        <w:adjustRightInd w:val="0"/>
        <w:snapToGrid w:val="0"/>
        <w:spacing w:line="360" w:lineRule="auto"/>
        <w:ind w:firstLine="1446" w:firstLineChars="60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乙  方：</w:t>
      </w:r>
      <w:r>
        <w:rPr>
          <w:rFonts w:hint="eastAsia" w:ascii="宋体" w:hAnsi="宋体" w:eastAsia="宋体" w:cs="宋体"/>
          <w:b/>
          <w:sz w:val="24"/>
          <w:szCs w:val="24"/>
          <w:highlight w:val="none"/>
          <w:u w:val="thick"/>
        </w:rPr>
        <w:t xml:space="preserve">                           </w:t>
      </w:r>
    </w:p>
    <w:p>
      <w:pPr>
        <w:adjustRightInd w:val="0"/>
        <w:snapToGrid w:val="0"/>
        <w:spacing w:line="360" w:lineRule="auto"/>
        <w:ind w:firstLine="964" w:firstLineChars="400"/>
        <w:jc w:val="left"/>
        <w:rPr>
          <w:rFonts w:hint="eastAsia" w:ascii="宋体" w:hAnsi="宋体" w:eastAsia="宋体" w:cs="宋体"/>
          <w:b/>
          <w:sz w:val="24"/>
          <w:szCs w:val="24"/>
          <w:highlight w:val="none"/>
        </w:rPr>
      </w:pPr>
    </w:p>
    <w:p>
      <w:pPr>
        <w:spacing w:line="360" w:lineRule="auto"/>
        <w:rPr>
          <w:rFonts w:hint="eastAsia" w:ascii="宋体" w:hAnsi="宋体" w:eastAsia="宋体" w:cs="宋体"/>
          <w:sz w:val="24"/>
          <w:szCs w:val="24"/>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spacing w:line="360" w:lineRule="auto"/>
        <w:rPr>
          <w:rFonts w:hint="eastAsia" w:ascii="宋体" w:hAnsi="宋体" w:eastAsia="宋体" w:cs="宋体"/>
          <w:sz w:val="24"/>
          <w:szCs w:val="24"/>
          <w:highlight w:val="none"/>
        </w:rPr>
      </w:pP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甲方（</w:t>
      </w:r>
      <w:r>
        <w:rPr>
          <w:rFonts w:hint="eastAsia" w:ascii="宋体" w:hAnsi="宋体" w:eastAsia="宋体" w:cs="宋体"/>
          <w:bCs/>
          <w:sz w:val="24"/>
          <w:szCs w:val="24"/>
          <w:highlight w:val="none"/>
          <w:lang w:eastAsia="zh-CN"/>
        </w:rPr>
        <w:t>买方</w:t>
      </w:r>
      <w:r>
        <w:rPr>
          <w:rFonts w:hint="eastAsia" w:ascii="宋体" w:hAnsi="宋体" w:eastAsia="宋体" w:cs="宋体"/>
          <w:bCs/>
          <w:sz w:val="24"/>
          <w:szCs w:val="24"/>
          <w:highlight w:val="none"/>
        </w:rPr>
        <w:t>）：</w:t>
      </w:r>
    </w:p>
    <w:p>
      <w:pPr>
        <w:spacing w:line="360" w:lineRule="auto"/>
        <w:rPr>
          <w:rFonts w:hint="eastAsia" w:ascii="宋体" w:hAnsi="宋体" w:eastAsia="宋体" w:cs="宋体"/>
          <w:bCs/>
          <w:sz w:val="24"/>
          <w:szCs w:val="24"/>
          <w:highlight w:val="none"/>
        </w:rPr>
      </w:pPr>
    </w:p>
    <w:p>
      <w:pPr>
        <w:spacing w:line="360"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乙方（</w:t>
      </w:r>
      <w:r>
        <w:rPr>
          <w:rFonts w:hint="eastAsia" w:ascii="宋体" w:hAnsi="宋体" w:eastAsia="宋体" w:cs="宋体"/>
          <w:bCs/>
          <w:sz w:val="24"/>
          <w:szCs w:val="24"/>
          <w:highlight w:val="none"/>
          <w:lang w:eastAsia="zh-CN"/>
        </w:rPr>
        <w:t>卖方</w:t>
      </w:r>
      <w:r>
        <w:rPr>
          <w:rFonts w:hint="eastAsia" w:ascii="宋体" w:hAnsi="宋体" w:eastAsia="宋体" w:cs="宋体"/>
          <w:bCs/>
          <w:sz w:val="24"/>
          <w:szCs w:val="24"/>
          <w:highlight w:val="none"/>
        </w:rPr>
        <w:t>）：</w:t>
      </w:r>
    </w:p>
    <w:p>
      <w:pPr>
        <w:spacing w:line="360" w:lineRule="auto"/>
        <w:rPr>
          <w:rFonts w:hint="eastAsia" w:ascii="宋体" w:hAnsi="宋体" w:eastAsia="宋体" w:cs="宋体"/>
          <w:bCs/>
          <w:sz w:val="24"/>
          <w:szCs w:val="24"/>
          <w:highlight w:val="none"/>
        </w:rPr>
      </w:pP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根据中华人民共和国相关法律、法规及有关规定，为明确双方的权利义务关系，甲方委托乙方进行设备</w:t>
      </w:r>
      <w:r>
        <w:rPr>
          <w:rFonts w:hint="eastAsia" w:ascii="宋体" w:hAnsi="宋体" w:eastAsia="宋体" w:cs="宋体"/>
          <w:sz w:val="24"/>
          <w:szCs w:val="24"/>
          <w:highlight w:val="none"/>
          <w:lang w:val="en-US" w:eastAsia="zh-CN"/>
        </w:rPr>
        <w:t>改造</w:t>
      </w:r>
      <w:r>
        <w:rPr>
          <w:rFonts w:hint="eastAsia" w:ascii="宋体" w:hAnsi="宋体" w:eastAsia="宋体" w:cs="宋体"/>
          <w:sz w:val="24"/>
          <w:szCs w:val="24"/>
          <w:highlight w:val="none"/>
        </w:rPr>
        <w:t>升级，经双方充分协商，订立本合同，以便共同遵守。</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一、设备明细、</w:t>
      </w:r>
      <w:r>
        <w:rPr>
          <w:rFonts w:hint="eastAsia" w:ascii="宋体" w:hAnsi="宋体" w:eastAsia="宋体" w:cs="宋体"/>
          <w:b/>
          <w:sz w:val="24"/>
          <w:szCs w:val="24"/>
          <w:highlight w:val="none"/>
          <w:lang w:val="en-US" w:eastAsia="zh-CN"/>
        </w:rPr>
        <w:t>改造升级</w:t>
      </w:r>
      <w:r>
        <w:rPr>
          <w:rFonts w:hint="eastAsia" w:ascii="宋体" w:hAnsi="宋体" w:eastAsia="宋体" w:cs="宋体"/>
          <w:b/>
          <w:sz w:val="24"/>
          <w:szCs w:val="24"/>
          <w:highlight w:val="none"/>
        </w:rPr>
        <w:t>费</w:t>
      </w:r>
      <w:r>
        <w:rPr>
          <w:rFonts w:hint="eastAsia" w:ascii="宋体" w:hAnsi="宋体" w:eastAsia="宋体" w:cs="宋体"/>
          <w:b/>
          <w:sz w:val="24"/>
          <w:szCs w:val="24"/>
          <w:highlight w:val="none"/>
          <w:lang w:val="en-US" w:eastAsia="zh-CN"/>
        </w:rPr>
        <w:t>用</w:t>
      </w:r>
      <w:r>
        <w:rPr>
          <w:rFonts w:hint="eastAsia" w:ascii="宋体" w:hAnsi="宋体" w:eastAsia="宋体" w:cs="宋体"/>
          <w:b/>
          <w:sz w:val="24"/>
          <w:szCs w:val="24"/>
          <w:highlight w:val="none"/>
        </w:rPr>
        <w:t>：</w:t>
      </w:r>
    </w:p>
    <w:tbl>
      <w:tblPr>
        <w:tblStyle w:val="40"/>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33"/>
        <w:gridCol w:w="1150"/>
        <w:gridCol w:w="2171"/>
        <w:gridCol w:w="1262"/>
        <w:gridCol w:w="128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34"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033"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设备名称</w:t>
            </w:r>
          </w:p>
        </w:tc>
        <w:tc>
          <w:tcPr>
            <w:tcW w:w="1150"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设备型号</w:t>
            </w:r>
          </w:p>
        </w:tc>
        <w:tc>
          <w:tcPr>
            <w:tcW w:w="2171"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设备资产编号</w:t>
            </w:r>
          </w:p>
        </w:tc>
        <w:tc>
          <w:tcPr>
            <w:tcW w:w="1262"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数量（台）</w:t>
            </w:r>
          </w:p>
        </w:tc>
        <w:tc>
          <w:tcPr>
            <w:tcW w:w="1284" w:type="dxa"/>
            <w:vAlign w:val="center"/>
          </w:tcPr>
          <w:p>
            <w:p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改造升级</w:t>
            </w:r>
            <w:r>
              <w:rPr>
                <w:rFonts w:hint="eastAsia" w:ascii="宋体" w:hAnsi="宋体" w:eastAsia="宋体" w:cs="宋体"/>
                <w:sz w:val="24"/>
                <w:szCs w:val="24"/>
                <w:highlight w:val="none"/>
              </w:rPr>
              <w:t>费</w:t>
            </w:r>
            <w:r>
              <w:rPr>
                <w:rFonts w:hint="eastAsia" w:ascii="宋体" w:hAnsi="宋体" w:eastAsia="宋体" w:cs="宋体"/>
                <w:sz w:val="24"/>
                <w:szCs w:val="24"/>
                <w:highlight w:val="none"/>
                <w:lang w:val="en-US" w:eastAsia="zh-CN"/>
              </w:rPr>
              <w:t>用</w:t>
            </w:r>
          </w:p>
        </w:tc>
        <w:tc>
          <w:tcPr>
            <w:tcW w:w="1706" w:type="dxa"/>
            <w:vAlign w:val="center"/>
          </w:tcPr>
          <w:p>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4" w:type="dxa"/>
            <w:vAlign w:val="center"/>
          </w:tcPr>
          <w:p>
            <w:pPr>
              <w:spacing w:line="360" w:lineRule="auto"/>
              <w:ind w:firstLine="4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33" w:type="dxa"/>
            <w:vAlign w:val="center"/>
          </w:tcPr>
          <w:p>
            <w:pPr>
              <w:pStyle w:val="2"/>
              <w:ind w:left="0" w:leftChars="0" w:firstLine="0" w:firstLineChars="0"/>
              <w:rPr>
                <w:rFonts w:hint="eastAsia" w:ascii="宋体" w:hAnsi="宋体" w:eastAsia="宋体" w:cs="宋体"/>
                <w:color w:val="FF0000"/>
                <w:sz w:val="24"/>
                <w:szCs w:val="24"/>
                <w:highlight w:val="none"/>
              </w:rPr>
            </w:pPr>
            <w:r>
              <w:rPr>
                <w:rFonts w:hint="eastAsia" w:ascii="宋体" w:hAnsi="宋体" w:eastAsia="宋体" w:cs="宋体"/>
                <w:sz w:val="24"/>
                <w:szCs w:val="24"/>
                <w:highlight w:val="none"/>
                <w:lang w:eastAsia="zh-CN"/>
              </w:rPr>
              <w:t>曲轴磨床</w:t>
            </w:r>
          </w:p>
        </w:tc>
        <w:tc>
          <w:tcPr>
            <w:tcW w:w="1150" w:type="dxa"/>
            <w:vAlign w:val="center"/>
          </w:tcPr>
          <w:p>
            <w:pPr>
              <w:pStyle w:val="2"/>
              <w:ind w:left="0" w:leftChars="0" w:firstLine="0" w:firstLineChars="0"/>
              <w:rPr>
                <w:rFonts w:hint="eastAsia" w:ascii="宋体" w:hAnsi="宋体" w:eastAsia="宋体" w:cs="宋体"/>
                <w:color w:val="FF0000"/>
                <w:sz w:val="24"/>
                <w:szCs w:val="24"/>
                <w:highlight w:val="none"/>
              </w:rPr>
            </w:pPr>
            <w:r>
              <w:rPr>
                <w:rFonts w:hint="eastAsia" w:ascii="宋体" w:hAnsi="宋体" w:eastAsia="宋体" w:cs="宋体"/>
                <w:sz w:val="24"/>
                <w:szCs w:val="24"/>
                <w:highlight w:val="none"/>
                <w:lang w:eastAsia="zh-CN"/>
              </w:rPr>
              <w:t>JUCRANK6L 10-10</w:t>
            </w:r>
          </w:p>
        </w:tc>
        <w:tc>
          <w:tcPr>
            <w:tcW w:w="2171" w:type="dxa"/>
            <w:vAlign w:val="center"/>
          </w:tcPr>
          <w:p>
            <w:pPr>
              <w:numPr>
                <w:ilvl w:val="0"/>
                <w:numId w:val="0"/>
              </w:numPr>
              <w:spacing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JQ-003-00001～006</w:t>
            </w:r>
          </w:p>
          <w:p>
            <w:pPr>
              <w:numPr>
                <w:ilvl w:val="0"/>
                <w:numId w:val="0"/>
              </w:numPr>
              <w:spacing w:line="360" w:lineRule="auto"/>
              <w:rPr>
                <w:rFonts w:hint="eastAsia" w:ascii="宋体" w:hAnsi="宋体" w:eastAsia="宋体" w:cs="宋体"/>
                <w:sz w:val="24"/>
                <w:szCs w:val="24"/>
                <w:highlight w:val="none"/>
              </w:rPr>
            </w:pPr>
          </w:p>
        </w:tc>
        <w:tc>
          <w:tcPr>
            <w:tcW w:w="1262"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1284" w:type="dxa"/>
            <w:vAlign w:val="center"/>
          </w:tcPr>
          <w:p>
            <w:pPr>
              <w:spacing w:line="360" w:lineRule="auto"/>
              <w:ind w:firstLine="400"/>
              <w:jc w:val="center"/>
              <w:rPr>
                <w:rFonts w:hint="eastAsia" w:ascii="宋体" w:hAnsi="宋体" w:eastAsia="宋体" w:cs="宋体"/>
                <w:sz w:val="24"/>
                <w:szCs w:val="24"/>
                <w:highlight w:val="none"/>
              </w:rPr>
            </w:pPr>
          </w:p>
        </w:tc>
        <w:tc>
          <w:tcPr>
            <w:tcW w:w="1706" w:type="dxa"/>
            <w:vAlign w:val="center"/>
          </w:tcPr>
          <w:p>
            <w:pPr>
              <w:spacing w:line="360" w:lineRule="auto"/>
              <w:ind w:firstLine="40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34" w:type="dxa"/>
            <w:vAlign w:val="center"/>
          </w:tcPr>
          <w:p>
            <w:pPr>
              <w:spacing w:line="360" w:lineRule="auto"/>
              <w:ind w:firstLine="4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033" w:type="dxa"/>
            <w:vAlign w:val="center"/>
          </w:tcPr>
          <w:p>
            <w:pPr>
              <w:pStyle w:val="2"/>
              <w:rPr>
                <w:rFonts w:hint="eastAsia" w:ascii="宋体" w:hAnsi="宋体" w:eastAsia="宋体" w:cs="宋体"/>
                <w:sz w:val="24"/>
                <w:szCs w:val="24"/>
                <w:highlight w:val="none"/>
              </w:rPr>
            </w:pPr>
          </w:p>
        </w:tc>
        <w:tc>
          <w:tcPr>
            <w:tcW w:w="1150" w:type="dxa"/>
            <w:vAlign w:val="center"/>
          </w:tcPr>
          <w:p>
            <w:pPr>
              <w:rPr>
                <w:rFonts w:hint="eastAsia" w:ascii="宋体" w:hAnsi="宋体" w:eastAsia="宋体" w:cs="宋体"/>
                <w:sz w:val="24"/>
                <w:szCs w:val="24"/>
                <w:highlight w:val="none"/>
              </w:rPr>
            </w:pPr>
          </w:p>
        </w:tc>
        <w:tc>
          <w:tcPr>
            <w:tcW w:w="2171" w:type="dxa"/>
            <w:vAlign w:val="center"/>
          </w:tcPr>
          <w:p>
            <w:pPr>
              <w:spacing w:line="360" w:lineRule="auto"/>
              <w:ind w:firstLine="400"/>
              <w:jc w:val="center"/>
              <w:rPr>
                <w:rFonts w:hint="eastAsia" w:ascii="宋体" w:hAnsi="宋体" w:eastAsia="宋体" w:cs="宋体"/>
                <w:sz w:val="24"/>
                <w:szCs w:val="24"/>
                <w:highlight w:val="none"/>
              </w:rPr>
            </w:pPr>
          </w:p>
        </w:tc>
        <w:tc>
          <w:tcPr>
            <w:tcW w:w="1262" w:type="dxa"/>
            <w:vAlign w:val="center"/>
          </w:tcPr>
          <w:p>
            <w:pPr>
              <w:spacing w:line="360" w:lineRule="auto"/>
              <w:ind w:firstLine="400"/>
              <w:jc w:val="center"/>
              <w:rPr>
                <w:rFonts w:hint="eastAsia" w:ascii="宋体" w:hAnsi="宋体" w:eastAsia="宋体" w:cs="宋体"/>
                <w:sz w:val="24"/>
                <w:szCs w:val="24"/>
                <w:highlight w:val="none"/>
              </w:rPr>
            </w:pPr>
          </w:p>
        </w:tc>
        <w:tc>
          <w:tcPr>
            <w:tcW w:w="1284" w:type="dxa"/>
            <w:vAlign w:val="center"/>
          </w:tcPr>
          <w:p>
            <w:pPr>
              <w:spacing w:line="360" w:lineRule="auto"/>
              <w:ind w:firstLine="400"/>
              <w:jc w:val="center"/>
              <w:rPr>
                <w:rFonts w:hint="eastAsia" w:ascii="宋体" w:hAnsi="宋体" w:eastAsia="宋体" w:cs="宋体"/>
                <w:sz w:val="24"/>
                <w:szCs w:val="24"/>
                <w:highlight w:val="none"/>
              </w:rPr>
            </w:pPr>
          </w:p>
        </w:tc>
        <w:tc>
          <w:tcPr>
            <w:tcW w:w="1706" w:type="dxa"/>
            <w:vAlign w:val="center"/>
          </w:tcPr>
          <w:p>
            <w:pPr>
              <w:spacing w:line="360" w:lineRule="auto"/>
              <w:ind w:firstLine="400"/>
              <w:jc w:val="center"/>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734" w:type="dxa"/>
            <w:vAlign w:val="center"/>
          </w:tcPr>
          <w:p>
            <w:pPr>
              <w:spacing w:line="360" w:lineRule="auto"/>
              <w:ind w:left="450" w:leftChars="100" w:hanging="240" w:hangingChars="100"/>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8606" w:type="dxa"/>
            <w:gridSpan w:val="6"/>
            <w:vAlign w:val="center"/>
          </w:tcPr>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小写：人民币【】</w:t>
            </w:r>
          </w:p>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大写: 【】</w:t>
            </w:r>
          </w:p>
          <w:p>
            <w:pPr>
              <w:spacing w:line="360" w:lineRule="auto"/>
              <w:ind w:firstLine="400"/>
              <w:rPr>
                <w:rFonts w:hint="eastAsia" w:ascii="宋体" w:hAnsi="宋体" w:eastAsia="宋体" w:cs="宋体"/>
                <w:sz w:val="24"/>
                <w:szCs w:val="24"/>
                <w:highlight w:val="none"/>
              </w:rPr>
            </w:pPr>
            <w:r>
              <w:rPr>
                <w:rFonts w:hint="eastAsia" w:ascii="宋体" w:hAnsi="宋体" w:eastAsia="宋体" w:cs="宋体"/>
                <w:sz w:val="24"/>
                <w:szCs w:val="24"/>
                <w:highlight w:val="none"/>
              </w:rPr>
              <w:t>税率：【】</w:t>
            </w:r>
          </w:p>
        </w:tc>
      </w:tr>
    </w:tbl>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二、升级内容</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1.1升级方式：按双方签订的技术协议相关内容进行升级。技术协议作为本合同附件。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1.2升级地点：在甲方处进行升级   </w:t>
      </w:r>
    </w:p>
    <w:p>
      <w:pPr>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1.3升级工期：</w:t>
      </w:r>
      <w:r>
        <w:rPr>
          <w:rFonts w:hint="eastAsia" w:ascii="宋体" w:hAnsi="宋体" w:eastAsia="宋体" w:cs="宋体"/>
          <w:sz w:val="24"/>
          <w:szCs w:val="24"/>
          <w:highlight w:val="none"/>
          <w:u w:val="single"/>
        </w:rPr>
        <w:t xml:space="preserve">         </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1.4安装调试时间：</w:t>
      </w:r>
      <w:r>
        <w:rPr>
          <w:rFonts w:hint="eastAsia" w:ascii="宋体" w:hAnsi="宋体" w:eastAsia="宋体" w:cs="宋体"/>
          <w:sz w:val="24"/>
          <w:szCs w:val="24"/>
          <w:highlight w:val="none"/>
          <w:u w:val="single"/>
        </w:rPr>
        <w:t xml:space="preserve">          </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1.5安装调试地点：</w:t>
      </w:r>
      <w:r>
        <w:rPr>
          <w:rFonts w:hint="eastAsia" w:ascii="宋体" w:hAnsi="宋体" w:eastAsia="宋体" w:cs="宋体"/>
          <w:sz w:val="24"/>
          <w:szCs w:val="24"/>
          <w:highlight w:val="none"/>
          <w:u w:val="single"/>
        </w:rPr>
        <w:t xml:space="preserve">         </w:t>
      </w:r>
    </w:p>
    <w:p>
      <w:pPr>
        <w:spacing w:line="360" w:lineRule="auto"/>
        <w:ind w:firstLine="402"/>
        <w:rPr>
          <w:rFonts w:hint="eastAsia" w:ascii="宋体" w:hAnsi="宋体" w:eastAsia="宋体" w:cs="宋体"/>
          <w:sz w:val="24"/>
          <w:szCs w:val="24"/>
          <w:highlight w:val="none"/>
        </w:rPr>
      </w:pPr>
      <w:r>
        <w:rPr>
          <w:rFonts w:hint="eastAsia" w:ascii="宋体" w:hAnsi="宋体" w:eastAsia="宋体" w:cs="宋体"/>
          <w:b/>
          <w:sz w:val="24"/>
          <w:szCs w:val="24"/>
          <w:highlight w:val="none"/>
        </w:rPr>
        <w:t>三、运输要求</w:t>
      </w:r>
      <w:r>
        <w:rPr>
          <w:rFonts w:hint="eastAsia" w:ascii="宋体" w:hAnsi="宋体" w:eastAsia="宋体" w:cs="宋体"/>
          <w:i/>
          <w:iCs/>
          <w:sz w:val="24"/>
          <w:szCs w:val="24"/>
          <w:highlight w:val="none"/>
        </w:rPr>
        <w:t>（</w:t>
      </w:r>
      <w:r>
        <w:rPr>
          <w:rFonts w:hint="eastAsia" w:ascii="宋体" w:hAnsi="宋体" w:eastAsia="宋体" w:cs="宋体"/>
          <w:i/>
          <w:iCs/>
          <w:sz w:val="24"/>
          <w:szCs w:val="24"/>
          <w:highlight w:val="none"/>
          <w:lang w:val="en-US" w:eastAsia="zh-CN"/>
        </w:rPr>
        <w:t>本项目不涉及</w:t>
      </w:r>
      <w:r>
        <w:rPr>
          <w:rFonts w:hint="eastAsia" w:ascii="宋体" w:hAnsi="宋体" w:eastAsia="宋体" w:cs="宋体"/>
          <w:i/>
          <w:iCs/>
          <w:sz w:val="24"/>
          <w:szCs w:val="24"/>
          <w:highlight w:val="none"/>
        </w:rPr>
        <w:t>可删除此条）</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四、包装标准、包装物的供应与回收：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2、乙方运输设备的包装物上应做出明显标识(如：乙方名称、货物名称等)以便甲方管理。包装物乙方不回收、不收费。</w:t>
      </w:r>
    </w:p>
    <w:p>
      <w:pPr>
        <w:spacing w:line="360" w:lineRule="auto"/>
        <w:ind w:firstLine="402"/>
        <w:rPr>
          <w:rFonts w:hint="eastAsia" w:ascii="宋体" w:hAnsi="宋体" w:eastAsia="宋体" w:cs="宋体"/>
          <w:sz w:val="24"/>
          <w:szCs w:val="24"/>
          <w:highlight w:val="none"/>
        </w:rPr>
      </w:pPr>
      <w:r>
        <w:rPr>
          <w:rFonts w:hint="eastAsia" w:ascii="宋体" w:hAnsi="宋体" w:eastAsia="宋体" w:cs="宋体"/>
          <w:b/>
          <w:sz w:val="24"/>
          <w:szCs w:val="24"/>
          <w:highlight w:val="none"/>
        </w:rPr>
        <w:t>五、验收标准和方法</w:t>
      </w:r>
      <w:r>
        <w:rPr>
          <w:rFonts w:hint="eastAsia" w:ascii="宋体" w:hAnsi="宋体" w:eastAsia="宋体" w:cs="宋体"/>
          <w:i/>
          <w:iCs/>
          <w:sz w:val="24"/>
          <w:szCs w:val="24"/>
          <w:highlight w:val="none"/>
        </w:rPr>
        <w:t>（根据实际情况补充、修订）</w:t>
      </w:r>
      <w:r>
        <w:rPr>
          <w:rFonts w:hint="eastAsia" w:ascii="宋体" w:hAnsi="宋体" w:eastAsia="宋体" w:cs="宋体"/>
          <w:b/>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按双方签订的技术协议相关内容验收。</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六、结算及付款方式：</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1.1合同不含税总价为人民币¥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），增值税税率</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%，税额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元，含税总价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元人民币（大写：</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），如国家出台新政策对增值税率进行了调整，则不含税价款不变，本合同含税总价在不含税价基础上根据国家最新税法进行相应的调整。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该价格包括但不限于维修费、设备拆解装卸费、运输费、包装费、安装调试费、税费、备品备件、指导培训、保险等全部费用。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1.2付款方式为：</w:t>
      </w:r>
      <w:r>
        <w:rPr>
          <w:rFonts w:hint="eastAsia" w:ascii="宋体" w:hAnsi="宋体" w:eastAsia="宋体" w:cs="宋体"/>
          <w:b/>
          <w:bCs/>
          <w:sz w:val="24"/>
          <w:szCs w:val="24"/>
          <w:highlight w:val="none"/>
          <w:u w:val="single"/>
        </w:rPr>
        <w:t>半年期商业汇票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1.3合同价款的支付</w:t>
      </w: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1.3.1合同生效后，乙方提交金额为合同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元人民币的收据（正本一份，复印件二份），经甲方依照财务制度审核无误后支付，该笔价款作为合同的预付款。</w:t>
      </w: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1.3.2</w:t>
      </w:r>
      <w:r>
        <w:rPr>
          <w:rFonts w:ascii="宋体" w:hAnsi="宋体" w:eastAsia="宋体" w:cs="宋体"/>
          <w:color w:val="000000"/>
          <w:sz w:val="24"/>
          <w:szCs w:val="24"/>
          <w:highlight w:val="none"/>
        </w:rPr>
        <w:t>设备</w:t>
      </w:r>
      <w:r>
        <w:rPr>
          <w:rFonts w:ascii="宋体" w:hAnsi="宋体" w:eastAsia="宋体" w:cs="宋体"/>
          <w:color w:val="000000"/>
          <w:sz w:val="24"/>
          <w:szCs w:val="24"/>
          <w:highlight w:val="none"/>
          <w:lang w:val="en-US" w:eastAsia="zh-CN"/>
        </w:rPr>
        <w:t>全部</w:t>
      </w:r>
      <w:r>
        <w:rPr>
          <w:rFonts w:ascii="宋体" w:hAnsi="宋体" w:eastAsia="宋体" w:cs="宋体"/>
          <w:color w:val="000000"/>
          <w:sz w:val="24"/>
          <w:szCs w:val="24"/>
          <w:highlight w:val="none"/>
        </w:rPr>
        <w:t>到货后，</w:t>
      </w:r>
      <w:r>
        <w:rPr>
          <w:rFonts w:hint="eastAsia" w:ascii="宋体" w:hAnsi="宋体" w:eastAsia="宋体" w:cs="宋体"/>
          <w:sz w:val="24"/>
          <w:szCs w:val="24"/>
          <w:highlight w:val="none"/>
        </w:rPr>
        <w:t>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3</w:t>
      </w:r>
      <w:r>
        <w:rPr>
          <w:rFonts w:hint="eastAsia" w:ascii="宋体" w:hAnsi="宋体" w:eastAsia="宋体" w:cs="宋体"/>
          <w:b/>
          <w:bCs/>
          <w:sz w:val="24"/>
          <w:szCs w:val="24"/>
          <w:highlight w:val="none"/>
          <w:u w:val="single"/>
        </w:rPr>
        <w:t xml:space="preserve">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元人民币的收据并附带下列单据，经甲方依照财务制度审核无误后支付：</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A 金额为该套合同设备价格</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0%的增值税专用发票（含复印件二份）；</w:t>
      </w:r>
    </w:p>
    <w:p>
      <w:pPr>
        <w:pStyle w:val="2"/>
        <w:rPr>
          <w:rFonts w:hint="eastAsia" w:ascii="宋体" w:hAnsi="宋体" w:eastAsia="宋体" w:cs="宋体"/>
          <w:sz w:val="24"/>
          <w:szCs w:val="24"/>
          <w:highlight w:val="none"/>
        </w:rPr>
      </w:pPr>
      <w:r>
        <w:rPr>
          <w:rFonts w:hint="eastAsia" w:eastAsia="宋体" w:cs="宋体"/>
          <w:sz w:val="24"/>
          <w:szCs w:val="24"/>
          <w:highlight w:val="none"/>
          <w:lang w:val="en-US" w:eastAsia="zh-CN"/>
        </w:rPr>
        <w:t xml:space="preserve">   B </w:t>
      </w:r>
      <w:r>
        <w:rPr>
          <w:rFonts w:hint="eastAsia" w:ascii="宋体" w:hAnsi="宋体" w:eastAsia="宋体" w:cs="宋体"/>
          <w:sz w:val="24"/>
          <w:szCs w:val="24"/>
          <w:highlight w:val="none"/>
        </w:rPr>
        <w:t>该套合同设备</w:t>
      </w:r>
      <w:r>
        <w:rPr>
          <w:rFonts w:hint="eastAsia" w:eastAsia="宋体" w:cs="宋体"/>
          <w:sz w:val="24"/>
          <w:szCs w:val="24"/>
          <w:highlight w:val="none"/>
          <w:lang w:val="en-US" w:eastAsia="zh-CN"/>
        </w:rPr>
        <w:t>到货清单</w:t>
      </w:r>
      <w:r>
        <w:rPr>
          <w:rFonts w:hint="eastAsia" w:ascii="宋体" w:hAnsi="宋体" w:eastAsia="宋体" w:cs="宋体"/>
          <w:sz w:val="24"/>
          <w:szCs w:val="24"/>
          <w:highlight w:val="none"/>
        </w:rPr>
        <w:t>的原件及其复印件两份。</w:t>
      </w:r>
    </w:p>
    <w:p>
      <w:pPr>
        <w:pStyle w:val="2"/>
        <w:rPr>
          <w:rFonts w:hint="default" w:ascii="宋体" w:hAnsi="宋体" w:eastAsia="宋体" w:cs="宋体"/>
          <w:sz w:val="24"/>
          <w:szCs w:val="24"/>
          <w:highlight w:val="none"/>
          <w:lang w:val="en-US" w:eastAsia="zh-CN"/>
        </w:rPr>
      </w:pPr>
    </w:p>
    <w:p>
      <w:pPr>
        <w:spacing w:line="360" w:lineRule="auto"/>
        <w:ind w:left="-105" w:leftChars="-50" w:right="-105" w:rightChars="-50"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设备维修完毕，经安装、调试最终经甲方验收合格后，甲方出具书面验收单，乙方提交金额为合同</w:t>
      </w:r>
      <w:r>
        <w:rPr>
          <w:rFonts w:hint="eastAsia" w:ascii="宋体" w:hAnsi="宋体" w:eastAsia="宋体" w:cs="宋体"/>
          <w:b/>
          <w:bCs/>
          <w:sz w:val="24"/>
          <w:szCs w:val="24"/>
          <w:highlight w:val="none"/>
        </w:rPr>
        <w:t>价款</w:t>
      </w:r>
      <w:r>
        <w:rPr>
          <w:rFonts w:hint="eastAsia" w:ascii="宋体" w:hAnsi="宋体" w:eastAsia="宋体" w:cs="宋体"/>
          <w:b/>
          <w:bCs/>
          <w:sz w:val="24"/>
          <w:szCs w:val="24"/>
          <w:highlight w:val="none"/>
          <w:u w:val="single"/>
        </w:rPr>
        <w:t xml:space="preserve"> </w:t>
      </w:r>
      <w:r>
        <w:rPr>
          <w:rFonts w:hint="eastAsia" w:ascii="宋体" w:hAnsi="宋体" w:eastAsia="宋体" w:cs="宋体"/>
          <w:b/>
          <w:bCs/>
          <w:sz w:val="24"/>
          <w:szCs w:val="24"/>
          <w:highlight w:val="none"/>
          <w:u w:val="single"/>
          <w:lang w:val="en-US" w:eastAsia="zh-CN"/>
        </w:rPr>
        <w:t>6</w:t>
      </w:r>
      <w:r>
        <w:rPr>
          <w:rFonts w:hint="eastAsia" w:ascii="宋体" w:hAnsi="宋体" w:eastAsia="宋体" w:cs="宋体"/>
          <w:b/>
          <w:bCs/>
          <w:sz w:val="24"/>
          <w:szCs w:val="24"/>
          <w:highlight w:val="none"/>
          <w:u w:val="single"/>
        </w:rPr>
        <w:t xml:space="preserve">0 </w:t>
      </w:r>
      <w:r>
        <w:rPr>
          <w:rFonts w:hint="eastAsia" w:ascii="宋体" w:hAnsi="宋体" w:eastAsia="宋体" w:cs="宋体"/>
          <w:b/>
          <w:bCs/>
          <w:sz w:val="24"/>
          <w:szCs w:val="24"/>
          <w:highlight w:val="none"/>
        </w:rPr>
        <w:t>%约</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元人民币的收据并附带下列单据，经甲方依照财务制度审核无误后支付：</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A 金额为该套合同设备价格</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0%的增值税专用发票（含复印件二份）；</w:t>
      </w:r>
    </w:p>
    <w:p>
      <w:pPr>
        <w:spacing w:line="360" w:lineRule="auto"/>
        <w:ind w:left="-105" w:leftChars="-50" w:right="-105" w:rightChars="-5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B 该套合同设备维修最终验收报告的原件及其复印件两份。</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合同总</w:t>
      </w:r>
      <w:r>
        <w:rPr>
          <w:rFonts w:hint="eastAsia" w:ascii="宋体" w:hAnsi="宋体" w:eastAsia="宋体" w:cs="宋体"/>
          <w:b/>
          <w:bCs/>
          <w:sz w:val="24"/>
          <w:szCs w:val="24"/>
          <w:highlight w:val="none"/>
        </w:rPr>
        <w:t>价款的</w:t>
      </w:r>
      <w:r>
        <w:rPr>
          <w:rFonts w:hint="eastAsia" w:ascii="宋体" w:hAnsi="宋体" w:eastAsia="宋体" w:cs="宋体"/>
          <w:b/>
          <w:bCs/>
          <w:sz w:val="24"/>
          <w:szCs w:val="24"/>
          <w:highlight w:val="none"/>
          <w:u w:val="single"/>
        </w:rPr>
        <w:t xml:space="preserve">10 </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rPr>
        <w:t>约为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元人民币作为本合同约定的质量保证金，质量保证金在本合同约定的质量保证期内不计利息，</w:t>
      </w:r>
      <w:r>
        <w:rPr>
          <w:rFonts w:hint="eastAsia" w:ascii="宋体" w:hAnsi="宋体" w:eastAsia="宋体" w:cs="宋体"/>
          <w:b/>
          <w:bCs/>
          <w:sz w:val="24"/>
          <w:szCs w:val="24"/>
          <w:highlight w:val="none"/>
        </w:rPr>
        <w:t>待设备质量保证期满1年后，</w:t>
      </w:r>
      <w:r>
        <w:rPr>
          <w:rFonts w:hint="eastAsia" w:ascii="宋体" w:hAnsi="宋体" w:eastAsia="宋体" w:cs="宋体"/>
          <w:sz w:val="24"/>
          <w:szCs w:val="24"/>
          <w:highlight w:val="none"/>
        </w:rPr>
        <w:t>设备运行稳定无故障，乙方向甲方提交相应金额的收据及设备使用单位的使用情况说明，经甲方依照财务制度审核无误后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日内支付；如有质量问题，质量保证金予以扣除。</w:t>
      </w:r>
    </w:p>
    <w:p>
      <w:pPr>
        <w:spacing w:line="360" w:lineRule="auto"/>
        <w:ind w:right="-105" w:rightChars="-50" w:firstLine="402"/>
        <w:rPr>
          <w:rFonts w:hint="eastAsia" w:ascii="宋体" w:hAnsi="宋体" w:eastAsia="宋体" w:cs="宋体"/>
          <w:b/>
          <w:bCs/>
          <w:sz w:val="24"/>
          <w:szCs w:val="24"/>
          <w:highlight w:val="none"/>
        </w:rPr>
      </w:pPr>
      <w:r>
        <w:rPr>
          <w:rFonts w:hint="eastAsia" w:ascii="宋体" w:hAnsi="宋体" w:eastAsia="宋体" w:cs="宋体"/>
          <w:b/>
          <w:sz w:val="24"/>
          <w:szCs w:val="24"/>
          <w:highlight w:val="none"/>
        </w:rPr>
        <w:t>七、</w:t>
      </w:r>
      <w:r>
        <w:rPr>
          <w:rFonts w:hint="eastAsia" w:ascii="宋体" w:hAnsi="宋体" w:eastAsia="宋体" w:cs="宋体"/>
          <w:b/>
          <w:bCs/>
          <w:sz w:val="24"/>
          <w:szCs w:val="24"/>
          <w:highlight w:val="none"/>
        </w:rPr>
        <w:t>质量保证期及质量保证金</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b/>
          <w:bCs/>
          <w:sz w:val="24"/>
          <w:szCs w:val="24"/>
          <w:highlight w:val="none"/>
        </w:rPr>
        <w:t>质量保证期限为最终验收报告签署之日（以签署日期最晚者为准）起 12个月</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3、质量保证期届满后，如甲方需要乙方提供技术服务，乙方应在2小时内进行答复，如需到现场解决问题的，乙方应24小时内派服务人员到达甲方现场提供服务。</w:t>
      </w:r>
    </w:p>
    <w:p>
      <w:pPr>
        <w:spacing w:line="360" w:lineRule="auto"/>
        <w:ind w:right="-105" w:rightChars="-50"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八、保密条款</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九、其它约定</w:t>
      </w:r>
    </w:p>
    <w:p>
      <w:pPr>
        <w:tabs>
          <w:tab w:val="left" w:pos="72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 设备调试期间，乙方应保持甲方现场的清洁，负责清理工作，并服从甲方的组织协调。</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4、设备从拆解、运输、维修至设备安装调试完成期间所发生的设备毁损风险及责任全部由乙方承担。</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5、乙方确认本合同中的地址为其可以接收到函件的有效送达地址，如有变更应在三日内以书面形式告知甲方。否则，甲方依本合同中的乙方地址寄发函件即视为送达。</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十、违约责任</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乙方未按合同的约定完成修理工作的，甲方有权按照以下一种或多种方式要求乙方赔偿：</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3、擅自调换甲方认可的修理零部件，甲方有权拒收，乙方应赔偿甲方因此造成的损失。如甲方要求重新修理，应当按甲方要求办理，并承担逾期交付的责任。</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     个月。</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6、如果乙方违反本合同其他约定（包括本合同及所有附件），应赔偿因此给甲方造成的一切损失。</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十一、纠纷的处理</w:t>
      </w:r>
    </w:p>
    <w:p>
      <w:pPr>
        <w:spacing w:line="360" w:lineRule="auto"/>
        <w:ind w:firstLine="600" w:firstLineChars="250"/>
        <w:rPr>
          <w:rFonts w:hint="eastAsia" w:ascii="宋体" w:hAnsi="宋体" w:eastAsia="宋体" w:cs="宋体"/>
          <w:sz w:val="24"/>
          <w:szCs w:val="24"/>
          <w:highlight w:val="none"/>
        </w:rPr>
      </w:pPr>
      <w:r>
        <w:rPr>
          <w:rFonts w:hint="eastAsia" w:ascii="宋体" w:hAnsi="宋体" w:eastAsia="宋体" w:cs="宋体"/>
          <w:sz w:val="24"/>
          <w:szCs w:val="24"/>
          <w:highlight w:val="none"/>
        </w:rPr>
        <w:t>解决合同纠纷的方式：双方协商解决，如双方协商解决不成，向甲方所在地人民法院提起诉讼。</w:t>
      </w:r>
    </w:p>
    <w:p>
      <w:pPr>
        <w:spacing w:line="360" w:lineRule="auto"/>
        <w:ind w:firstLine="402"/>
        <w:rPr>
          <w:rFonts w:hint="eastAsia" w:ascii="宋体" w:hAnsi="宋体" w:eastAsia="宋体" w:cs="宋体"/>
          <w:b/>
          <w:sz w:val="24"/>
          <w:szCs w:val="24"/>
          <w:highlight w:val="none"/>
        </w:rPr>
      </w:pPr>
      <w:r>
        <w:rPr>
          <w:rFonts w:hint="eastAsia" w:ascii="宋体" w:hAnsi="宋体" w:eastAsia="宋体" w:cs="宋体"/>
          <w:b/>
          <w:sz w:val="24"/>
          <w:szCs w:val="24"/>
          <w:highlight w:val="none"/>
        </w:rPr>
        <w:t>十二、附件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1、双方签订的技术协议作为本合同的附件，具有与合同相同的法律效力。</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2、合同未尽事宜，须经双方共同协商，做出补充协议，补充协议与本合同具有同等效力。本合同附件均为本合同的组成部分，具有同等的法律效力。</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3、本合同自双方签署之日起生效。本合同一式四份，甲方三份，乙方一份。</w:t>
      </w:r>
    </w:p>
    <w:bookmarkEnd w:id="39"/>
    <w:p>
      <w:pPr>
        <w:spacing w:line="360" w:lineRule="auto"/>
        <w:ind w:firstLine="453"/>
        <w:rPr>
          <w:rFonts w:ascii="仿宋_GB2312" w:eastAsia="仿宋_GB2312" w:hAnsiTheme="minorEastAsia" w:cstheme="minorEastAsia"/>
          <w:sz w:val="24"/>
          <w:szCs w:val="24"/>
          <w:highlight w:val="none"/>
        </w:rPr>
      </w:pPr>
    </w:p>
    <w:p>
      <w:pPr>
        <w:spacing w:line="360" w:lineRule="auto"/>
        <w:ind w:firstLine="455"/>
        <w:rPr>
          <w:rFonts w:hint="eastAsia" w:ascii="仿宋_GB2312" w:eastAsia="仿宋_GB2312" w:hAnsiTheme="minorEastAsia" w:cstheme="minorEastAsia"/>
          <w:b/>
          <w:sz w:val="24"/>
          <w:szCs w:val="24"/>
          <w:highlight w:val="none"/>
          <w:lang w:eastAsia="zh-CN"/>
        </w:rPr>
      </w:pPr>
      <w:r>
        <w:rPr>
          <w:rFonts w:ascii="仿宋_GB2312" w:eastAsia="宋体"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rPr>
          <w:rFonts w:ascii="仿宋_GB2312" w:eastAsia="仿宋_GB2312" w:hAnsiTheme="minorEastAsia" w:cstheme="minorEastAsia"/>
          <w:b/>
          <w:sz w:val="24"/>
          <w:szCs w:val="24"/>
          <w:highlight w:val="none"/>
        </w:rPr>
      </w:pPr>
      <w:r>
        <w:rPr>
          <w:rFonts w:ascii="仿宋_GB2312" w:eastAsia="宋体"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rPr>
          <w:rFonts w:ascii="仿宋_GB2312" w:eastAsia="仿宋_GB2312" w:hAnsiTheme="minorEastAsia" w:cstheme="minorEastAsia"/>
          <w:sz w:val="24"/>
          <w:szCs w:val="24"/>
          <w:highlight w:val="none"/>
        </w:rPr>
      </w:pPr>
      <w:r>
        <w:rPr>
          <w:rFonts w:ascii="仿宋_GB2312" w:eastAsia="宋体" w:hAnsiTheme="minorEastAsia" w:cstheme="minorEastAsia"/>
          <w:sz w:val="24"/>
          <w:szCs w:val="24"/>
          <w:highlight w:val="none"/>
        </w:rPr>
        <w:t>（以下无正文）</w:t>
      </w:r>
    </w:p>
    <w:p>
      <w:pPr>
        <w:spacing w:line="360" w:lineRule="auto"/>
        <w:ind w:firstLine="420"/>
        <w:rPr>
          <w:rFonts w:asciiTheme="minorEastAsia" w:hAnsiTheme="minorEastAsia" w:eastAsiaTheme="minorEastAsia" w:cstheme="minorEastAsia"/>
          <w:sz w:val="20"/>
          <w:szCs w:val="20"/>
          <w:highlight w:val="none"/>
        </w:rPr>
      </w:pPr>
      <w:r>
        <w:rPr>
          <w:rFonts w:eastAsia="宋体"/>
          <w:highlight w:val="none"/>
        </w:rPr>
        <w:t xml:space="preserve">    </w:t>
      </w:r>
    </w:p>
    <w:p>
      <w:pPr>
        <w:spacing w:line="360" w:lineRule="auto"/>
        <w:rPr>
          <w:rFonts w:ascii="宋体" w:hAnsi="宋体"/>
          <w:kern w:val="0"/>
          <w:sz w:val="20"/>
          <w:szCs w:val="20"/>
          <w:highlight w:val="none"/>
          <w:lang w:eastAsia="zh-Hans"/>
        </w:rPr>
      </w:pP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甲方</w:t>
      </w:r>
      <w:r>
        <w:rPr>
          <w:rFonts w:ascii="仿宋_GB2312" w:hAnsi="仿宋_GB2312" w:eastAsia="宋体"/>
          <w:kern w:val="0"/>
          <w:sz w:val="24"/>
          <w:szCs w:val="24"/>
          <w:highlight w:val="none"/>
        </w:rPr>
        <w:t>（盖章）</w:t>
      </w:r>
      <w:r>
        <w:rPr>
          <w:rFonts w:ascii="仿宋_GB2312" w:hAnsi="仿宋_GB2312" w:eastAsia="宋体"/>
          <w:kern w:val="0"/>
          <w:sz w:val="24"/>
          <w:szCs w:val="24"/>
          <w:highlight w:val="none"/>
          <w:lang w:eastAsia="zh-Hans"/>
        </w:rPr>
        <w:t xml:space="preserve">：                    </w:t>
      </w:r>
      <w:r>
        <w:rPr>
          <w:rFonts w:ascii="仿宋_GB2312" w:hAnsi="仿宋_GB2312" w:eastAsia="宋体"/>
          <w:kern w:val="0"/>
          <w:sz w:val="24"/>
          <w:szCs w:val="24"/>
          <w:highlight w:val="none"/>
        </w:rPr>
        <w:t xml:space="preserve">           </w:t>
      </w:r>
      <w:r>
        <w:rPr>
          <w:rFonts w:ascii="仿宋_GB2312" w:hAnsi="仿宋_GB2312" w:eastAsia="宋体"/>
          <w:kern w:val="0"/>
          <w:sz w:val="24"/>
          <w:szCs w:val="24"/>
          <w:highlight w:val="none"/>
          <w:lang w:eastAsia="zh-Hans"/>
        </w:rPr>
        <w:t>乙方</w:t>
      </w:r>
      <w:r>
        <w:rPr>
          <w:rFonts w:ascii="仿宋_GB2312" w:hAnsi="仿宋_GB2312" w:eastAsia="宋体"/>
          <w:kern w:val="0"/>
          <w:sz w:val="24"/>
          <w:szCs w:val="24"/>
          <w:highlight w:val="none"/>
        </w:rPr>
        <w:t>（盖章）</w:t>
      </w:r>
      <w:r>
        <w:rPr>
          <w:rFonts w:ascii="仿宋_GB2312" w:hAnsi="仿宋_GB2312" w:eastAsia="宋体"/>
          <w:kern w:val="0"/>
          <w:sz w:val="24"/>
          <w:szCs w:val="24"/>
          <w:highlight w:val="none"/>
          <w:lang w:eastAsia="zh-Hans"/>
        </w:rPr>
        <w:t>：</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法定代表人或代理人（签字）：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法定代表人或代理人（签字）：</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地  址：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地  址： </w:t>
      </w: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 xml:space="preserve">电话：                                       电话： </w:t>
      </w:r>
    </w:p>
    <w:p>
      <w:pPr>
        <w:widowControl/>
        <w:snapToGrid w:val="0"/>
        <w:spacing w:line="360" w:lineRule="auto"/>
        <w:jc w:val="left"/>
        <w:rPr>
          <w:rFonts w:ascii="仿宋_GB2312" w:hAnsi="仿宋_GB2312" w:eastAsia="仿宋_GB2312"/>
          <w:kern w:val="0"/>
          <w:sz w:val="24"/>
          <w:szCs w:val="24"/>
          <w:highlight w:val="none"/>
          <w:lang w:eastAsia="zh-Hans"/>
        </w:rPr>
      </w:pPr>
      <w:r>
        <w:rPr>
          <w:rFonts w:ascii="仿宋_GB2312" w:hAnsi="仿宋_GB2312" w:eastAsia="宋体"/>
          <w:kern w:val="0"/>
          <w:sz w:val="24"/>
          <w:szCs w:val="24"/>
          <w:highlight w:val="none"/>
          <w:lang w:eastAsia="zh-Hans"/>
        </w:rPr>
        <w:t xml:space="preserve">传真：                                       传真： </w:t>
      </w:r>
    </w:p>
    <w:p>
      <w:pPr>
        <w:widowControl/>
        <w:snapToGrid w:val="0"/>
        <w:spacing w:line="360" w:lineRule="auto"/>
        <w:jc w:val="left"/>
        <w:rPr>
          <w:rFonts w:ascii="仿宋_GB2312" w:hAnsi="仿宋_GB2312" w:eastAsia="仿宋_GB2312"/>
          <w:color w:val="000000"/>
          <w:kern w:val="0"/>
          <w:sz w:val="24"/>
          <w:szCs w:val="24"/>
          <w:highlight w:val="none"/>
          <w:lang w:eastAsia="zh-Hans"/>
        </w:rPr>
      </w:pPr>
      <w:r>
        <w:rPr>
          <w:rFonts w:ascii="仿宋_GB2312" w:hAnsi="仿宋_GB2312" w:eastAsia="宋体"/>
          <w:color w:val="000000"/>
          <w:kern w:val="0"/>
          <w:sz w:val="24"/>
          <w:szCs w:val="24"/>
          <w:highlight w:val="none"/>
          <w:lang w:eastAsia="zh-Hans"/>
        </w:rPr>
        <w:t xml:space="preserve">开户银行：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开户银行：   </w:t>
      </w:r>
    </w:p>
    <w:p>
      <w:pPr>
        <w:widowControl/>
        <w:snapToGrid w:val="0"/>
        <w:spacing w:line="360" w:lineRule="auto"/>
        <w:jc w:val="left"/>
        <w:rPr>
          <w:rFonts w:ascii="仿宋_GB2312" w:hAnsi="仿宋_GB2312" w:eastAsia="仿宋_GB2312"/>
          <w:kern w:val="0"/>
          <w:sz w:val="24"/>
          <w:szCs w:val="24"/>
          <w:highlight w:val="none"/>
        </w:rPr>
      </w:pPr>
      <w:r>
        <w:rPr>
          <w:rFonts w:ascii="仿宋_GB2312" w:hAnsi="仿宋_GB2312" w:eastAsia="宋体"/>
          <w:color w:val="000000"/>
          <w:kern w:val="0"/>
          <w:sz w:val="24"/>
          <w:szCs w:val="24"/>
          <w:highlight w:val="none"/>
          <w:lang w:eastAsia="zh-Hans"/>
        </w:rPr>
        <w:t xml:space="preserve">账  号：                            </w:t>
      </w:r>
      <w:r>
        <w:rPr>
          <w:rFonts w:ascii="仿宋_GB2312" w:hAnsi="仿宋_GB2312" w:eastAsia="宋体"/>
          <w:kern w:val="0"/>
          <w:sz w:val="24"/>
          <w:szCs w:val="24"/>
          <w:highlight w:val="none"/>
          <w:lang w:eastAsia="zh-Hans"/>
        </w:rPr>
        <w:t xml:space="preserve">        </w:t>
      </w:r>
      <w:r>
        <w:rPr>
          <w:rFonts w:ascii="仿宋_GB2312" w:hAnsi="仿宋_GB2312" w:eastAsia="宋体"/>
          <w:color w:val="000000"/>
          <w:kern w:val="0"/>
          <w:sz w:val="24"/>
          <w:szCs w:val="24"/>
          <w:highlight w:val="none"/>
          <w:lang w:eastAsia="zh-Hans"/>
        </w:rPr>
        <w:t xml:space="preserve"> 账 号： </w:t>
      </w:r>
    </w:p>
    <w:p>
      <w:pPr>
        <w:rPr>
          <w:sz w:val="24"/>
          <w:szCs w:val="24"/>
          <w:highlight w:val="none"/>
        </w:rPr>
      </w:pPr>
      <w:r>
        <w:rPr>
          <w:highlight w:val="none"/>
        </w:rPr>
        <w:br w:type="page"/>
      </w:r>
    </w:p>
    <w:p>
      <w:pPr>
        <w:keepNext/>
        <w:keepLines/>
        <w:numPr>
          <w:ilvl w:val="0"/>
          <w:numId w:val="0"/>
        </w:numPr>
        <w:jc w:val="center"/>
        <w:outlineLvl w:val="0"/>
        <w:rPr>
          <w:rFonts w:ascii="Calibri" w:hAnsi="Calibri" w:eastAsia="宋体" w:cs="Times New Roman"/>
          <w:b/>
          <w:bCs/>
          <w:kern w:val="2"/>
          <w:sz w:val="36"/>
          <w:szCs w:val="44"/>
          <w:highlight w:val="none"/>
        </w:rPr>
      </w:pPr>
      <w:bookmarkStart w:id="50" w:name="_Toc27220"/>
      <w:r>
        <w:rPr>
          <w:rFonts w:ascii="Calibri" w:hAnsi="Calibri" w:eastAsia="宋体" w:cs="Times New Roman"/>
          <w:b/>
          <w:bCs/>
          <w:kern w:val="2"/>
          <w:sz w:val="36"/>
          <w:szCs w:val="44"/>
          <w:highlight w:val="none"/>
        </w:rPr>
        <w:t>第六部分 投标档附件</w:t>
      </w:r>
      <w:bookmarkEnd w:id="50"/>
    </w:p>
    <w:p>
      <w:pPr>
        <w:keepNext/>
        <w:keepLines/>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说明：</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1.投标人须认真填写和提交本部分中的附件档；</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2.对附件档中所要求的内容应给予明确的答复；</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3.附件档的签字人应保证其对一切问题的答复、所做的声明及出具的资格资质档、资料等具有真实性和准确性；</w:t>
      </w:r>
    </w:p>
    <w:p>
      <w:pPr>
        <w:spacing w:line="420" w:lineRule="exact"/>
        <w:ind w:firstLine="480"/>
        <w:rPr>
          <w:rFonts w:ascii="宋体" w:hAnsi="宋体" w:eastAsia="宋体" w:cs="宋体"/>
          <w:sz w:val="24"/>
          <w:szCs w:val="24"/>
          <w:highlight w:val="none"/>
        </w:rPr>
      </w:pPr>
      <w:r>
        <w:rPr>
          <w:rFonts w:ascii="宋体" w:hAnsi="宋体" w:eastAsia="宋体" w:cs="宋体"/>
          <w:sz w:val="24"/>
          <w:szCs w:val="24"/>
          <w:highlight w:val="none"/>
        </w:rPr>
        <w:t>4.招标人将对投标人提交的档、资料等内容予以保密，但不退还；</w:t>
      </w:r>
    </w:p>
    <w:p>
      <w:pPr>
        <w:spacing w:line="420" w:lineRule="exact"/>
        <w:ind w:firstLine="480"/>
        <w:rPr>
          <w:rFonts w:ascii="宋体" w:hAnsi="宋体" w:eastAsia="宋体" w:cs="宋体"/>
          <w:sz w:val="24"/>
          <w:szCs w:val="24"/>
          <w:highlight w:val="none"/>
        </w:rPr>
        <w:sectPr>
          <w:footerReference r:id="rId20" w:type="first"/>
          <w:headerReference r:id="rId18" w:type="default"/>
          <w:footerReference r:id="rId19"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宋体"/>
          <w:sz w:val="24"/>
          <w:szCs w:val="24"/>
          <w:highlight w:val="none"/>
        </w:rPr>
        <w:t>5.所有附件档应以中文书写，作为投标档的组成部分。</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w:t>
      </w:r>
      <w:bookmarkStart w:id="51" w:name="_Toc25811"/>
      <w:bookmarkStart w:id="52" w:name="_Toc353881012"/>
      <w:bookmarkStart w:id="53" w:name="_Toc639004"/>
      <w:bookmarkStart w:id="54" w:name="_Toc212369550"/>
      <w:r>
        <w:rPr>
          <w:rFonts w:ascii="Times New Roman" w:hAnsi="Times New Roman" w:eastAsia="宋体" w:cs="Times New Roman"/>
          <w:b/>
          <w:bCs/>
          <w:color w:val="000000"/>
          <w:sz w:val="24"/>
          <w:szCs w:val="24"/>
          <w:highlight w:val="none"/>
        </w:rPr>
        <w:t xml:space="preserve"> 投标函</w:t>
      </w:r>
      <w:bookmarkEnd w:id="51"/>
      <w:bookmarkEnd w:id="52"/>
      <w:bookmarkEnd w:id="53"/>
      <w:bookmarkEnd w:id="54"/>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致：中国重汽集团济南动力有限公司：</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根据贵方</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color w:val="FF0000"/>
          <w:sz w:val="24"/>
          <w:szCs w:val="24"/>
          <w:highlight w:val="none"/>
          <w:u w:val="single"/>
          <w:lang w:eastAsia="zh-CN"/>
        </w:rPr>
        <w:t>曲轴磨床增加共振点补偿功能项目</w:t>
      </w:r>
      <w:r>
        <w:rPr>
          <w:rFonts w:ascii="宋体" w:hAnsi="宋体" w:eastAsia="宋体" w:cs="Times New Roman"/>
          <w:b/>
          <w:bCs/>
          <w:color w:val="000000"/>
          <w:sz w:val="24"/>
          <w:szCs w:val="24"/>
          <w:highlight w:val="none"/>
        </w:rPr>
        <w:t xml:space="preserve"> </w:t>
      </w:r>
      <w:r>
        <w:rPr>
          <w:rFonts w:ascii="宋体" w:hAnsi="宋体" w:eastAsia="宋体" w:cs="Times New Roman"/>
          <w:color w:val="000000"/>
          <w:sz w:val="24"/>
          <w:szCs w:val="24"/>
          <w:highlight w:val="none"/>
        </w:rPr>
        <w:t>（</w:t>
      </w:r>
      <w:r>
        <w:rPr>
          <w:rFonts w:hint="eastAsia" w:ascii="Times New Roman" w:hAnsi="Times New Roman" w:eastAsia="宋体" w:cs="Times New Roman"/>
          <w:color w:val="000000"/>
          <w:kern w:val="2"/>
          <w:sz w:val="24"/>
          <w:szCs w:val="24"/>
          <w:highlight w:val="none"/>
          <w:u w:val="single"/>
          <w:shd w:val="clear" w:fill="auto"/>
          <w:lang w:val="en-US" w:eastAsia="zh-CN" w:bidi="ar-SA"/>
        </w:rPr>
        <w:t xml:space="preserve">                          </w:t>
      </w:r>
      <w:r>
        <w:rPr>
          <w:rFonts w:ascii="宋体" w:hAnsi="宋体" w:eastAsia="宋体" w:cs="Times New Roman"/>
          <w:color w:val="000000"/>
          <w:sz w:val="24"/>
          <w:szCs w:val="24"/>
          <w:highlight w:val="none"/>
        </w:rPr>
        <w:t>）</w:t>
      </w:r>
      <w:r>
        <w:rPr>
          <w:rFonts w:ascii="宋体" w:hAnsi="宋体" w:eastAsia="宋体" w:cs="Times New Roman"/>
          <w:color w:val="000000"/>
          <w:sz w:val="24"/>
          <w:szCs w:val="24"/>
          <w:highlight w:val="none"/>
          <w:u w:val="single"/>
        </w:rPr>
        <w:t xml:space="preserve"> </w:t>
      </w:r>
      <w:r>
        <w:rPr>
          <w:rFonts w:ascii="宋体" w:hAnsi="宋体" w:eastAsia="宋体" w:cs="Times New Roman"/>
          <w:bCs/>
          <w:color w:val="000000"/>
          <w:kern w:val="0"/>
          <w:sz w:val="24"/>
          <w:szCs w:val="24"/>
          <w:highlight w:val="none"/>
        </w:rPr>
        <w:t>项目招标公告</w:t>
      </w:r>
      <w:r>
        <w:rPr>
          <w:rFonts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ascii="宋体" w:hAnsi="宋体" w:eastAsia="宋体" w:cs="Times New Roman"/>
          <w:color w:val="000000"/>
          <w:sz w:val="24"/>
          <w:szCs w:val="24"/>
          <w:highlight w:val="none"/>
        </w:rPr>
        <w:t>投标公司， 法人代表人为</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提交纸质投标档：资质证明档、商务档和技术档正本一份；电子版投标档一份</w:t>
      </w:r>
      <w:r>
        <w:rPr>
          <w:rFonts w:ascii="宋体" w:hAnsi="宋体" w:eastAsia="宋体" w:cs="Times New Roman"/>
          <w:color w:val="000000"/>
          <w:sz w:val="24"/>
          <w:szCs w:val="24"/>
          <w:highlight w:val="none"/>
          <w:lang w:eastAsia="zh-CN"/>
        </w:rPr>
        <w:t>（</w:t>
      </w:r>
      <w:r>
        <w:rPr>
          <w:rFonts w:ascii="宋体" w:hAnsi="宋体" w:eastAsia="宋体"/>
          <w:bCs/>
          <w:color w:val="000000"/>
          <w:sz w:val="24"/>
          <w:szCs w:val="24"/>
          <w:highlight w:val="none"/>
        </w:rPr>
        <w:t>电子版投标档为纸质盖章版的扫描件或加盖电子章；不盖章无效</w:t>
      </w:r>
      <w:r>
        <w:rPr>
          <w:rFonts w:ascii="宋体" w:hAnsi="宋体" w:eastAsia="宋体"/>
          <w:color w:val="000000"/>
          <w:sz w:val="24"/>
          <w:szCs w:val="24"/>
          <w:highlight w:val="none"/>
        </w:rPr>
        <w:t>）</w:t>
      </w:r>
      <w:r>
        <w:rPr>
          <w:rFonts w:ascii="宋体" w:hAnsi="宋体" w:eastAsia="宋体" w:cs="Times New Roman"/>
          <w:color w:val="000000"/>
          <w:sz w:val="24"/>
          <w:szCs w:val="24"/>
          <w:highlight w:val="none"/>
        </w:rPr>
        <w:t>。</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据此函，签字代表宣布同意如下：</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1.投标人已详细审查全部“招标档”，包括修改档（如有的话）以及全部参考资料和有关附件，已经了解我方对于招标档、采购过程、采购结果有依法进行询问、质疑、投诉的权利及相关管道和要求。</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2.投标人在投标之前已经与贵方进行了充分的沟通，完全理解并接受招标档的各项规定和要求，对招标档的合理性、合法性不再有异议。</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3.本投标有效期自开标日起</w:t>
      </w:r>
      <w:r>
        <w:rPr>
          <w:rFonts w:ascii="宋体" w:hAnsi="宋体" w:eastAsia="宋体" w:cs="Times New Roman"/>
          <w:bCs/>
          <w:color w:val="000000"/>
          <w:sz w:val="24"/>
          <w:szCs w:val="24"/>
          <w:highlight w:val="none"/>
          <w:u w:val="single"/>
        </w:rPr>
        <w:t xml:space="preserve"> 90</w:t>
      </w:r>
      <w:r>
        <w:rPr>
          <w:rFonts w:ascii="宋体" w:hAnsi="宋体" w:eastAsia="宋体" w:cs="Times New Roman"/>
          <w:color w:val="000000"/>
          <w:sz w:val="24"/>
          <w:szCs w:val="24"/>
          <w:highlight w:val="none"/>
        </w:rPr>
        <w:t>个日历日。</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4.如中标，本投标档至本项目合同履行完毕止均保持有效，本投标人将按“招标档”及政府采购法律、法规的规定履行合同责任和义务。</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5.投标人同意按照贵方要求提供与投标有关的一切数据或资料。</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6.与本投标有关的一切正式往来信函请寄：</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地址：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邮编：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电话：        传真：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投标人代表姓名：</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职务：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开户银行：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银行账号：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w:t>
      </w:r>
      <w:r>
        <w:rPr>
          <w:rFonts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授权代表签字</w:t>
      </w:r>
      <w:r>
        <w:rPr>
          <w:rFonts w:ascii="宋体" w:hAnsi="宋体" w:eastAsia="宋体" w:cs="Times New Roman"/>
          <w:bCs/>
          <w:color w:val="000000"/>
          <w:sz w:val="24"/>
          <w:szCs w:val="24"/>
          <w:highlight w:val="none"/>
        </w:rPr>
        <w:t>：</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日期：     年      月      日</w:t>
      </w:r>
    </w:p>
    <w:p>
      <w:pPr>
        <w:rPr>
          <w:rFonts w:ascii="黑体" w:hAnsi="黑体" w:eastAsia="黑体" w:cs="Times New Roman"/>
          <w:color w:val="000000"/>
          <w:sz w:val="24"/>
          <w:szCs w:val="24"/>
          <w:highlight w:val="none"/>
        </w:rPr>
      </w:pPr>
    </w:p>
    <w:p>
      <w:pPr>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pStyle w:val="2"/>
        <w:rPr>
          <w:rFonts w:ascii="黑体" w:hAnsi="黑体" w:eastAsia="黑体" w:cs="Times New Roman"/>
          <w:color w:val="000000"/>
          <w:sz w:val="24"/>
          <w:szCs w:val="24"/>
          <w:highlight w:val="none"/>
        </w:rPr>
      </w:pPr>
    </w:p>
    <w:p>
      <w:pPr>
        <w:rPr>
          <w:rFonts w:ascii="黑体" w:hAnsi="黑体" w:eastAsia="黑体" w:cs="Times New Roman"/>
          <w:color w:val="000000"/>
          <w:sz w:val="24"/>
          <w:szCs w:val="24"/>
          <w:highlight w:val="none"/>
        </w:rPr>
        <w:sectPr>
          <w:footerReference r:id="rId23" w:type="first"/>
          <w:headerReference r:id="rId21" w:type="default"/>
          <w:footerReference r:id="rId22" w:type="default"/>
          <w:pgSz w:w="11906" w:h="16838"/>
          <w:pgMar w:top="1588" w:right="1418" w:bottom="1134" w:left="1418" w:header="851" w:footer="992" w:gutter="0"/>
          <w:pgNumType w:fmt="decimal"/>
          <w:cols w:space="720" w:num="1"/>
          <w:formProt w:val="0"/>
          <w:titlePg/>
          <w:docGrid w:type="lines" w:linePitch="312" w:charSpace="0"/>
        </w:sectPr>
      </w:pPr>
    </w:p>
    <w:p>
      <w:pPr>
        <w:pStyle w:val="2"/>
        <w:rPr>
          <w:highlight w:val="none"/>
        </w:rPr>
      </w:pP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附件2 法定代表人授权委托书</w:t>
      </w:r>
    </w:p>
    <w:p>
      <w:pPr>
        <w:snapToGrid w:val="0"/>
        <w:spacing w:before="93" w:after="0" w:line="240" w:lineRule="exact"/>
        <w:jc w:val="center"/>
        <w:rPr>
          <w:rFonts w:ascii="宋体" w:hAnsi="宋体" w:eastAsia="宋体" w:cs="Times New Roman"/>
          <w:sz w:val="24"/>
          <w:szCs w:val="20"/>
          <w:highlight w:val="non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宋体"/>
          <w:b w:val="0"/>
          <w:bCs w:val="0"/>
          <w:color w:val="000000"/>
          <w:sz w:val="24"/>
          <w:szCs w:val="24"/>
          <w:highlight w:val="none"/>
          <w:u w:val="single"/>
          <w:shd w:val="clear" w:fill="auto"/>
        </w:rPr>
        <w:t xml:space="preserve"> </w:t>
      </w:r>
      <w:r>
        <w:rPr>
          <w:rFonts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 xml:space="preserve">                          </w:t>
      </w:r>
      <w:r>
        <w:rPr>
          <w:rFonts w:ascii="宋体" w:hAnsi="宋体" w:eastAsia="宋体" w:cs="Times New Roman"/>
          <w:color w:val="000000"/>
          <w:sz w:val="24"/>
          <w:szCs w:val="24"/>
          <w:highlight w:val="none"/>
        </w:rPr>
        <w:t>）现授权委托＿＿＿＿＿＿＿＿＿＿＿＿＿＿＿＿＿＿＿＿＿＿＿＿＿＿＿＿（单位名称）的＿＿＿＿＿＿＿＿（姓名、职务）为我公司全权代表，全权代表在投标档、评标过程中的书面承诺、合同等所签署的一切档和处理与之有关的一切事务，我均予以承认。</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全权代表无转委权。特此委托。</w:t>
      </w:r>
    </w:p>
    <w:tbl>
      <w:tblPr>
        <w:tblStyle w:val="40"/>
        <w:tblW w:w="8590" w:type="dxa"/>
        <w:jc w:val="center"/>
        <w:tblLayout w:type="fixed"/>
        <w:tblCellMar>
          <w:top w:w="0" w:type="dxa"/>
          <w:left w:w="108" w:type="dxa"/>
          <w:bottom w:w="0" w:type="dxa"/>
          <w:right w:w="108" w:type="dxa"/>
        </w:tblCellMar>
      </w:tblPr>
      <w:tblGrid>
        <w:gridCol w:w="8590"/>
      </w:tblGrid>
      <w:tr>
        <w:trPr>
          <w:trHeight w:val="3407" w:hRule="atLeast"/>
          <w:jc w:val="center"/>
        </w:trPr>
        <w:tc>
          <w:tcPr>
            <w:tcW w:w="8590" w:type="dxa"/>
            <w:tcBorders>
              <w:top w:val="single" w:color="000000" w:sz="4" w:space="0"/>
              <w:left w:val="single" w:color="000000" w:sz="4" w:space="0"/>
              <w:bottom w:val="single" w:color="000000" w:sz="4" w:space="0"/>
              <w:right w:val="single" w:color="000000" w:sz="4" w:space="0"/>
            </w:tcBorders>
            <w:vAlign w:val="center"/>
          </w:tcPr>
          <w:p>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附法人身份证明复印件（</w:t>
            </w:r>
            <w:r>
              <w:rPr>
                <w:rFonts w:ascii="宋体" w:hAnsi="宋体" w:eastAsia="宋体" w:cs="Times New Roman"/>
                <w:color w:val="000000" w:themeColor="text1"/>
                <w:sz w:val="24"/>
                <w:szCs w:val="20"/>
                <w:highlight w:val="none"/>
                <w14:textFill>
                  <w14:solidFill>
                    <w14:schemeClr w14:val="tx1"/>
                  </w14:solidFill>
                </w14:textFill>
              </w:rPr>
              <w:t>正反面）</w:t>
            </w:r>
          </w:p>
          <w:p>
            <w:pPr>
              <w:widowControl w:val="0"/>
              <w:snapToGrid w:val="0"/>
              <w:spacing w:before="93" w:after="0" w:line="312" w:lineRule="auto"/>
              <w:jc w:val="center"/>
              <w:rPr>
                <w:rFonts w:ascii="宋体" w:hAnsi="宋体" w:eastAsia="宋体" w:cs="Times New Roman"/>
                <w:sz w:val="24"/>
                <w:szCs w:val="20"/>
                <w:highlight w:val="none"/>
              </w:rPr>
            </w:pPr>
            <w:r>
              <w:rPr>
                <w:rFonts w:ascii="宋体" w:hAnsi="宋体" w:eastAsia="宋体" w:cs="Times New Roman"/>
                <w:sz w:val="24"/>
                <w:szCs w:val="20"/>
                <w:highlight w:val="none"/>
              </w:rPr>
              <w:t>附授权代理人身份证明复印件（正反面）</w:t>
            </w: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全权代表姓名：            性别：          年龄：</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单位：                    部门：          职务：</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法定代表人签字或盖章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被授权人签字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被授权人电话：                          </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 xml:space="preserve">投标人名称（公章）                       </w:t>
      </w:r>
    </w:p>
    <w:p>
      <w:pPr>
        <w:spacing w:line="460" w:lineRule="exact"/>
        <w:ind w:firstLine="552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rPr>
          <w:rFonts w:ascii="Calibri" w:hAnsi="Calibri" w:eastAsia="黑体" w:cs="Times New Roman"/>
          <w:b/>
          <w:bCs/>
          <w:color w:val="000000"/>
          <w:sz w:val="28"/>
          <w:szCs w:val="20"/>
          <w:highlight w:val="none"/>
        </w:rPr>
        <w:sectPr>
          <w:footerReference r:id="rId25" w:type="first"/>
          <w:footerReference r:id="rId24" w:type="default"/>
          <w:pgSz w:w="11906" w:h="16838"/>
          <w:pgMar w:top="1588" w:right="1418" w:bottom="1134" w:left="1418" w:header="851" w:footer="992" w:gutter="0"/>
          <w:pgNumType w:fmt="decimal"/>
          <w:cols w:space="720" w:num="1"/>
          <w:formProt w:val="0"/>
          <w:titlePg/>
          <w:docGrid w:type="lines" w:linePitch="312" w:charSpace="0"/>
        </w:sectPr>
      </w:pPr>
    </w:p>
    <w:p>
      <w:pPr>
        <w:keepNext/>
        <w:keepLines/>
        <w:numPr>
          <w:ilvl w:val="0"/>
          <w:numId w:val="0"/>
        </w:numPr>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3 </w:t>
      </w:r>
      <w:r>
        <w:rPr>
          <w:rFonts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pPr>
        <w:keepNext/>
        <w:keepLines/>
        <w:numPr>
          <w:ilvl w:val="0"/>
          <w:numId w:val="0"/>
        </w:numPr>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000000"/>
          <w:sz w:val="24"/>
          <w:szCs w:val="24"/>
          <w:highlight w:val="none"/>
        </w:rPr>
        <w:t>投标人基本情况表</w:t>
      </w:r>
    </w:p>
    <w:tbl>
      <w:tblPr>
        <w:tblStyle w:val="140"/>
        <w:tblpPr w:leftFromText="180" w:rightFromText="180" w:vertAnchor="text" w:horzAnchor="page" w:tblpX="1058" w:tblpY="310"/>
        <w:tblW w:w="9456" w:type="dxa"/>
        <w:tblInd w:w="-5" w:type="dxa"/>
        <w:tblLayout w:type="fixed"/>
        <w:tblCellMar>
          <w:top w:w="0" w:type="dxa"/>
          <w:left w:w="5" w:type="dxa"/>
          <w:bottom w:w="0" w:type="dxa"/>
          <w:right w:w="5" w:type="dxa"/>
        </w:tblCellMar>
      </w:tblPr>
      <w:tblGrid>
        <w:gridCol w:w="1956"/>
        <w:gridCol w:w="989"/>
        <w:gridCol w:w="1531"/>
        <w:gridCol w:w="1063"/>
        <w:gridCol w:w="1097"/>
        <w:gridCol w:w="1309"/>
        <w:gridCol w:w="1510"/>
      </w:tblGrid>
      <w:tr>
        <w:tblPrEx>
          <w:tblCellMar>
            <w:top w:w="0" w:type="dxa"/>
            <w:left w:w="5" w:type="dxa"/>
            <w:bottom w:w="0" w:type="dxa"/>
            <w:right w:w="5" w:type="dxa"/>
          </w:tblCellMar>
        </w:tblPrEx>
        <w:trPr>
          <w:trHeight w:val="411"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企业名称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50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企业地址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6"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联系人电话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376"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1" w:after="0"/>
              <w:ind w:left="720" w:firstLine="0"/>
              <w:rPr>
                <w:rFonts w:ascii="Calibri" w:hAnsi="Calibri" w:eastAsia="黑体" w:cs="Times New Roman"/>
                <w:b/>
                <w:bCs/>
                <w:color w:val="000000"/>
                <w:sz w:val="28"/>
                <w:szCs w:val="20"/>
                <w:highlight w:val="none"/>
              </w:rPr>
            </w:pPr>
            <w:r>
              <w:rPr>
                <w:rFonts w:eastAsia="宋体"/>
                <w:highlight w:val="none"/>
              </w:rPr>
              <w:t xml:space="preserve">企业性质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3" w:after="0"/>
              <w:ind w:left="154"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 xml:space="preserve">注册时间 </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464"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1" w:after="0"/>
              <w:ind w:left="509" w:firstLine="0"/>
              <w:rPr>
                <w:highlight w:val="none"/>
              </w:rPr>
            </w:pPr>
            <w:r>
              <w:rPr>
                <w:rFonts w:eastAsia="宋体"/>
                <w:highlight w:val="none"/>
              </w:rPr>
              <w:t xml:space="preserve">企业法人代表  </w:t>
            </w:r>
          </w:p>
        </w:tc>
        <w:tc>
          <w:tcPr>
            <w:tcW w:w="4680" w:type="dxa"/>
            <w:gridSpan w:val="4"/>
            <w:tcBorders>
              <w:top w:val="single" w:color="000000" w:sz="4" w:space="0"/>
              <w:left w:val="single" w:color="000000" w:sz="4" w:space="0"/>
              <w:bottom w:val="single" w:color="000000" w:sz="4" w:space="0"/>
              <w:right w:val="single" w:color="000000" w:sz="4" w:space="0"/>
            </w:tcBorders>
            <w:vAlign w:val="center"/>
          </w:tcPr>
          <w:p>
            <w:pPr>
              <w:pStyle w:val="5"/>
              <w:keepNext w:val="0"/>
              <w:keepLines w:val="0"/>
              <w:widowControl w:val="0"/>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03" w:after="0"/>
              <w:ind w:right="26" w:firstLine="0"/>
              <w:jc w:val="center"/>
              <w:rPr>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企业资质</w:t>
            </w:r>
          </w:p>
        </w:tc>
        <w:tc>
          <w:tcPr>
            <w:tcW w:w="151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color w:val="000000" w:themeColor="text1"/>
                <w:szCs w:val="21"/>
                <w:highlight w:val="none"/>
                <w14:textFill>
                  <w14:solidFill>
                    <w14:schemeClr w14:val="tx1"/>
                  </w14:solidFill>
                </w14:textFill>
              </w:rPr>
            </w:pP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14" w:after="0"/>
              <w:ind w:left="720" w:firstLine="0"/>
              <w:rPr>
                <w:rFonts w:ascii="Calibri" w:hAnsi="Calibri" w:eastAsia="黑体" w:cs="Times New Roman"/>
                <w:b/>
                <w:bCs/>
                <w:color w:val="000000"/>
                <w:sz w:val="28"/>
                <w:szCs w:val="20"/>
                <w:highlight w:val="none"/>
              </w:rPr>
            </w:pPr>
            <w:r>
              <w:rPr>
                <w:rFonts w:eastAsia="宋体"/>
                <w:highlight w:val="none"/>
              </w:rPr>
              <w:t xml:space="preserve">品牌区分 </w:t>
            </w:r>
          </w:p>
        </w:tc>
        <w:tc>
          <w:tcPr>
            <w:tcW w:w="7499" w:type="dxa"/>
            <w:gridSpan w:val="6"/>
            <w:tcBorders>
              <w:top w:val="single" w:color="000000" w:sz="4" w:space="0"/>
              <w:left w:val="single" w:color="000000" w:sz="4" w:space="0"/>
              <w:bottom w:val="single" w:color="000000" w:sz="4" w:space="0"/>
              <w:right w:val="single" w:color="000000" w:sz="4" w:space="0"/>
            </w:tcBorders>
          </w:tcPr>
          <w:p>
            <w:pPr>
              <w:pStyle w:val="137"/>
              <w:widowControl w:val="0"/>
              <w:spacing w:before="106" w:after="0"/>
              <w:ind w:left="401" w:firstLine="0"/>
              <w:rPr>
                <w:rFonts w:ascii="Calibri" w:hAnsi="Calibri" w:eastAsia="黑体" w:cs="Times New Roman"/>
                <w:b/>
                <w:bCs/>
                <w:color w:val="000000"/>
                <w:sz w:val="28"/>
                <w:szCs w:val="20"/>
                <w:highlight w:val="none"/>
              </w:rPr>
            </w:pPr>
            <w:r>
              <w:rPr>
                <w:rFonts w:eastAsia="宋体"/>
                <w:highlight w:val="none"/>
              </w:rPr>
              <w:t xml:space="preserve"> </w:t>
            </w:r>
            <w:r>
              <w:rPr>
                <w:rFonts w:ascii="Wingdings 2" w:hAnsi="Wingdings 2" w:eastAsia="宋体" w:cs="Wingdings 2"/>
                <w:highlight w:val="none"/>
              </w:rPr>
              <w:t>£</w:t>
            </w:r>
            <w:r>
              <w:rPr>
                <w:rFonts w:eastAsia="宋体"/>
                <w:highlight w:val="none"/>
              </w:rPr>
              <w:t xml:space="preserve">自产 </w:t>
            </w:r>
            <w:r>
              <w:rPr>
                <w:rFonts w:ascii="Wingdings 2" w:hAnsi="Wingdings 2" w:eastAsia="宋体" w:cs="Wingdings 2"/>
                <w:highlight w:val="none"/>
              </w:rPr>
              <w:t>£</w:t>
            </w:r>
            <w:r>
              <w:rPr>
                <w:rFonts w:eastAsia="宋体"/>
                <w:highlight w:val="none"/>
              </w:rPr>
              <w:t xml:space="preserve">总代理 </w:t>
            </w:r>
            <w:r>
              <w:rPr>
                <w:rFonts w:ascii="Wingdings 2" w:hAnsi="Wingdings 2" w:eastAsia="宋体" w:cs="Wingdings 2"/>
                <w:highlight w:val="none"/>
              </w:rPr>
              <w:t>£</w:t>
            </w:r>
            <w:r>
              <w:rPr>
                <w:rFonts w:eastAsia="宋体"/>
                <w:highlight w:val="none"/>
              </w:rPr>
              <w:t xml:space="preserve">代理  </w:t>
            </w:r>
            <w:r>
              <w:rPr>
                <w:rFonts w:ascii="Wingdings 2" w:hAnsi="Wingdings 2" w:eastAsia="宋体" w:cs="Wingdings 2"/>
                <w:highlight w:val="none"/>
              </w:rPr>
              <w:t>£</w:t>
            </w:r>
            <w:r>
              <w:rPr>
                <w:rFonts w:eastAsia="宋体"/>
                <w:highlight w:val="none"/>
              </w:rPr>
              <w:t xml:space="preserve">经销 </w:t>
            </w:r>
          </w:p>
        </w:tc>
      </w:tr>
      <w:tr>
        <w:tblPrEx>
          <w:tblCellMar>
            <w:top w:w="0" w:type="dxa"/>
            <w:left w:w="5" w:type="dxa"/>
            <w:bottom w:w="0" w:type="dxa"/>
            <w:right w:w="5" w:type="dxa"/>
          </w:tblCellMar>
        </w:tblPrEx>
        <w:trPr>
          <w:trHeight w:val="492" w:hRule="atLeast"/>
        </w:trPr>
        <w:tc>
          <w:tcPr>
            <w:tcW w:w="1956" w:type="dxa"/>
            <w:tcBorders>
              <w:top w:val="single" w:color="000000" w:sz="4" w:space="0"/>
              <w:left w:val="single" w:color="000000" w:sz="4" w:space="0"/>
              <w:bottom w:val="single" w:color="000000" w:sz="4" w:space="0"/>
              <w:right w:val="single" w:color="000000" w:sz="4" w:space="0"/>
            </w:tcBorders>
          </w:tcPr>
          <w:p>
            <w:pPr>
              <w:pStyle w:val="137"/>
              <w:widowControl w:val="0"/>
              <w:spacing w:before="178" w:after="0"/>
              <w:ind w:left="720" w:firstLine="0"/>
              <w:rPr>
                <w:rFonts w:ascii="Calibri" w:hAnsi="Calibri" w:eastAsia="黑体" w:cs="Times New Roman"/>
                <w:b/>
                <w:bCs/>
                <w:color w:val="000000"/>
                <w:sz w:val="28"/>
                <w:szCs w:val="20"/>
                <w:highlight w:val="none"/>
              </w:rPr>
            </w:pPr>
            <w:r>
              <w:rPr>
                <w:rFonts w:eastAsia="宋体"/>
                <w:highlight w:val="none"/>
              </w:rPr>
              <w:t xml:space="preserve">品牌名称 </w:t>
            </w:r>
          </w:p>
        </w:tc>
        <w:tc>
          <w:tcPr>
            <w:tcW w:w="3583" w:type="dxa"/>
            <w:gridSpan w:val="3"/>
            <w:tcBorders>
              <w:top w:val="single" w:color="000000" w:sz="4" w:space="0"/>
              <w:left w:val="single" w:color="000000" w:sz="4" w:space="0"/>
              <w:bottom w:val="single" w:color="000000" w:sz="4" w:space="0"/>
              <w:right w:val="single" w:color="000000" w:sz="4" w:space="0"/>
            </w:tcBorders>
            <w:vAlign w:val="center"/>
          </w:tcPr>
          <w:p>
            <w:pPr>
              <w:widowControl w:val="0"/>
              <w:spacing w:before="0" w:after="0"/>
              <w:rPr>
                <w:rFonts w:ascii="宋体" w:hAnsi="宋体" w:eastAsia="仿宋_GB2312"/>
                <w:kern w:val="0"/>
                <w:szCs w:val="21"/>
                <w:highlight w:val="none"/>
                <w:lang w:bidi="ar"/>
              </w:rPr>
            </w:pPr>
          </w:p>
        </w:tc>
        <w:tc>
          <w:tcPr>
            <w:tcW w:w="1097" w:type="dxa"/>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5" w:after="0"/>
              <w:ind w:left="279" w:firstLine="0"/>
              <w:rPr>
                <w:rFonts w:ascii="Calibri" w:hAnsi="Calibri" w:eastAsia="黑体" w:cs="Times New Roman"/>
                <w:b/>
                <w:bCs/>
                <w:color w:val="000000"/>
                <w:sz w:val="28"/>
                <w:szCs w:val="20"/>
                <w:highlight w:val="none"/>
              </w:rPr>
            </w:pPr>
            <w:r>
              <w:rPr>
                <w:rFonts w:eastAsia="宋体"/>
                <w:spacing w:val="-2"/>
                <w:highlight w:val="none"/>
              </w:rPr>
              <w:t>质量</w:t>
            </w:r>
            <w:r>
              <w:rPr>
                <w:rFonts w:eastAsia="宋体"/>
                <w:highlight w:val="none"/>
              </w:rPr>
              <w:t xml:space="preserve"> </w:t>
            </w:r>
          </w:p>
          <w:p>
            <w:pPr>
              <w:pStyle w:val="137"/>
              <w:widowControl w:val="0"/>
              <w:spacing w:before="30" w:after="0" w:line="277" w:lineRule="exact"/>
              <w:ind w:left="279" w:firstLine="0"/>
              <w:rPr>
                <w:rFonts w:ascii="Calibri" w:hAnsi="Calibri" w:eastAsia="黑体" w:cs="Times New Roman"/>
                <w:b/>
                <w:bCs/>
                <w:color w:val="000000"/>
                <w:sz w:val="28"/>
                <w:szCs w:val="20"/>
                <w:highlight w:val="none"/>
              </w:rPr>
            </w:pPr>
            <w:r>
              <w:rPr>
                <w:rFonts w:eastAsia="宋体"/>
                <w:highlight w:val="none"/>
              </w:rPr>
              <w:t>体系</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pStyle w:val="137"/>
              <w:widowControl w:val="0"/>
              <w:spacing w:before="158" w:after="0"/>
              <w:jc w:val="center"/>
              <w:rPr>
                <w:sz w:val="24"/>
                <w:highlight w:val="none"/>
              </w:rPr>
            </w:pPr>
            <w:r>
              <w:rPr>
                <w:rFonts w:eastAsia="宋体"/>
                <w:kern w:val="0"/>
                <w:szCs w:val="21"/>
                <w:highlight w:val="none"/>
                <w:lang w:bidi="ar"/>
              </w:rPr>
              <w:t>/</w:t>
            </w:r>
          </w:p>
        </w:tc>
      </w:tr>
      <w:tr>
        <w:tblPrEx>
          <w:tblCellMar>
            <w:top w:w="0" w:type="dxa"/>
            <w:left w:w="5" w:type="dxa"/>
            <w:bottom w:w="0" w:type="dxa"/>
            <w:right w:w="5" w:type="dxa"/>
          </w:tblCellMar>
        </w:tblPrEx>
        <w:trPr>
          <w:trHeight w:val="405" w:hRule="atLeast"/>
        </w:trPr>
        <w:tc>
          <w:tcPr>
            <w:tcW w:w="9455" w:type="dxa"/>
            <w:gridSpan w:val="7"/>
            <w:tcBorders>
              <w:top w:val="single" w:color="000000" w:sz="4" w:space="0"/>
              <w:left w:val="single" w:color="000000" w:sz="4" w:space="0"/>
              <w:bottom w:val="single" w:color="000000" w:sz="4" w:space="0"/>
              <w:right w:val="single" w:color="000000" w:sz="4" w:space="0"/>
            </w:tcBorders>
          </w:tcPr>
          <w:p>
            <w:pPr>
              <w:pStyle w:val="137"/>
              <w:widowControl w:val="0"/>
              <w:spacing w:before="149" w:after="0"/>
              <w:ind w:left="3345" w:right="3223" w:firstLine="0"/>
              <w:jc w:val="center"/>
              <w:rPr>
                <w:rFonts w:ascii="Calibri" w:hAnsi="Calibri" w:eastAsia="黑体" w:cs="Times New Roman"/>
                <w:b/>
                <w:bCs/>
                <w:color w:val="000000"/>
                <w:sz w:val="28"/>
                <w:szCs w:val="20"/>
                <w:highlight w:val="none"/>
              </w:rPr>
            </w:pPr>
            <w:r>
              <w:rPr>
                <w:rFonts w:eastAsia="宋体"/>
                <w:szCs w:val="21"/>
                <w:highlight w:val="none"/>
              </w:rPr>
              <w:t>单位概况</w:t>
            </w:r>
          </w:p>
        </w:tc>
      </w:tr>
      <w:tr>
        <w:tblPrEx>
          <w:tblCellMar>
            <w:top w:w="0" w:type="dxa"/>
            <w:left w:w="5" w:type="dxa"/>
            <w:bottom w:w="0" w:type="dxa"/>
            <w:right w:w="5" w:type="dxa"/>
          </w:tblCellMar>
        </w:tblPrEx>
        <w:trPr>
          <w:trHeight w:val="59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参保职工总人</w:t>
            </w:r>
            <w:r>
              <w:rPr>
                <w:rFonts w:ascii="宋体" w:hAnsi="宋体" w:eastAsia="宋体" w:cs="宋体"/>
                <w:spacing w:val="-1"/>
                <w:szCs w:val="21"/>
                <w:highlight w:val="none"/>
              </w:rPr>
              <w:t>数</w:t>
            </w:r>
          </w:p>
        </w:tc>
        <w:tc>
          <w:tcPr>
            <w:tcW w:w="98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szCs w:val="21"/>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p>
        </w:tc>
        <w:tc>
          <w:tcPr>
            <w:tcW w:w="109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产、销售人员</w:t>
            </w:r>
          </w:p>
        </w:tc>
        <w:tc>
          <w:tcPr>
            <w:tcW w:w="2819" w:type="dxa"/>
            <w:gridSpan w:val="2"/>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p>
        </w:tc>
      </w:tr>
      <w:tr>
        <w:tblPrEx>
          <w:tblCellMar>
            <w:top w:w="0" w:type="dxa"/>
            <w:left w:w="5" w:type="dxa"/>
            <w:bottom w:w="0" w:type="dxa"/>
            <w:right w:w="5" w:type="dxa"/>
          </w:tblCellMar>
        </w:tblPrEx>
        <w:trPr>
          <w:trHeight w:val="97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企业优势、关键产品特点</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786"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color w:val="000000"/>
                <w:kern w:val="0"/>
                <w:szCs w:val="21"/>
                <w:highlight w:val="none"/>
                <w:lang w:bidi="ar"/>
              </w:rPr>
              <w:t>企业行业水平及行业口碑</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49"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105"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近三或五年企业类似业绩及履约情况</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textAlignment w:val="center"/>
              <w:rPr>
                <w:rFonts w:ascii="宋体" w:hAnsi="宋体" w:eastAsia="宋体" w:cs="宋体"/>
                <w:szCs w:val="21"/>
                <w:highlight w:val="none"/>
              </w:rPr>
            </w:pPr>
            <w:r>
              <w:rPr>
                <w:rFonts w:ascii="宋体" w:hAnsi="宋体" w:eastAsia="宋体" w:cs="宋体"/>
                <w:kern w:val="0"/>
                <w:szCs w:val="21"/>
                <w:highlight w:val="none"/>
                <w:lang w:bidi="ar"/>
              </w:rPr>
              <w:t>售后服务及质量</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szCs w:val="21"/>
                <w:highlight w:val="none"/>
              </w:rPr>
            </w:pPr>
            <w:r>
              <w:rPr>
                <w:rFonts w:ascii="宋体" w:hAnsi="宋体" w:eastAsia="宋体" w:cs="宋体"/>
                <w:kern w:val="0"/>
                <w:szCs w:val="21"/>
                <w:highlight w:val="none"/>
                <w:lang w:bidi="ar"/>
              </w:rPr>
              <w:t>　</w:t>
            </w:r>
          </w:p>
        </w:tc>
      </w:tr>
      <w:tr>
        <w:tblPrEx>
          <w:tblCellMar>
            <w:top w:w="0" w:type="dxa"/>
            <w:left w:w="5" w:type="dxa"/>
            <w:bottom w:w="0" w:type="dxa"/>
            <w:right w:w="5" w:type="dxa"/>
          </w:tblCellMar>
        </w:tblPrEx>
        <w:trPr>
          <w:trHeight w:val="1020" w:hRule="atLeast"/>
        </w:trPr>
        <w:tc>
          <w:tcPr>
            <w:tcW w:w="195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499" w:type="dxa"/>
            <w:gridSpan w:val="6"/>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left"/>
              <w:rPr>
                <w:rFonts w:ascii="宋体" w:hAnsi="宋体" w:eastAsia="宋体" w:cs="宋体"/>
                <w:kern w:val="0"/>
                <w:szCs w:val="21"/>
                <w:highlight w:val="none"/>
                <w:lang w:bidi="ar"/>
              </w:rPr>
            </w:pPr>
          </w:p>
        </w:tc>
      </w:tr>
    </w:tbl>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rPr>
          <w:rFonts w:ascii="Times New Roman" w:hAnsi="Times New Roman" w:eastAsia="宋体" w:cs="Times New Roman"/>
          <w:b/>
          <w:bCs/>
          <w:color w:val="000000"/>
          <w:sz w:val="24"/>
          <w:szCs w:val="24"/>
          <w:highlight w:val="none"/>
        </w:rPr>
      </w:pPr>
    </w:p>
    <w:p>
      <w:pPr>
        <w:pStyle w:val="2"/>
        <w:numPr>
          <w:ilvl w:val="0"/>
          <w:numId w:val="0"/>
        </w:numPr>
        <w:outlineLvl w:val="3"/>
        <w:rPr>
          <w:rFonts w:eastAsia="宋体" w:cs="宋体"/>
          <w:spacing w:val="-9"/>
          <w:sz w:val="24"/>
          <w:szCs w:val="24"/>
          <w:highlight w:val="none"/>
          <w14:textOutline w14:w="4356" w14:cap="flat" w14:cmpd="sng" w14:algn="ctr">
            <w14:solidFill>
              <w14:srgbClr w14:val="000000"/>
            </w14:solidFill>
            <w14:prstDash w14:val="solid"/>
            <w14:miter w14:val="0"/>
          </w14:textOutline>
        </w:rPr>
        <w:sectPr>
          <w:footerReference r:id="rId28" w:type="first"/>
          <w:headerReference r:id="rId26" w:type="default"/>
          <w:footerReference r:id="rId27" w:type="default"/>
          <w:pgSz w:w="11906" w:h="16838"/>
          <w:pgMar w:top="1588" w:right="1418" w:bottom="1134" w:left="1418" w:header="851" w:footer="992" w:gutter="0"/>
          <w:pgNumType w:fmt="decimal"/>
          <w:cols w:space="720" w:num="1"/>
          <w:formProt w:val="0"/>
          <w:titlePg/>
          <w:docGrid w:type="lines" w:linePitch="312" w:charSpace="0"/>
        </w:sectPr>
      </w:pPr>
    </w:p>
    <w:p>
      <w:pPr>
        <w:pStyle w:val="2"/>
        <w:numPr>
          <w:ilvl w:val="0"/>
          <w:numId w:val="0"/>
        </w:numPr>
        <w:outlineLvl w:val="3"/>
        <w:rPr>
          <w:rFonts w:ascii="Times New Roman" w:hAnsi="Times New Roman" w:eastAsia="宋体" w:cs="Times New Roman"/>
          <w:b/>
          <w:bCs/>
          <w:color w:val="000000"/>
          <w:sz w:val="24"/>
          <w:szCs w:val="24"/>
          <w:highlight w:val="none"/>
        </w:rPr>
      </w:pPr>
      <w:r>
        <w:rPr>
          <w:rFonts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eastAsia="宋体" w:cs="宋体"/>
          <w:spacing w:val="-7"/>
          <w:sz w:val="24"/>
          <w:szCs w:val="24"/>
          <w:highlight w:val="none"/>
        </w:rPr>
        <w:t xml:space="preserve"> </w:t>
      </w:r>
      <w:r>
        <w:rPr>
          <w:rFonts w:eastAsia="宋体" w:cs="宋体"/>
          <w:spacing w:val="-7"/>
          <w:sz w:val="24"/>
          <w:szCs w:val="24"/>
          <w:highlight w:val="none"/>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000000"/>
          <w:sz w:val="24"/>
          <w:szCs w:val="24"/>
          <w:highlight w:val="none"/>
        </w:rPr>
        <w:t>资产情况汇总表</w:t>
      </w:r>
    </w:p>
    <w:p>
      <w:pPr>
        <w:pStyle w:val="2"/>
        <w:rPr>
          <w:rFonts w:ascii="Times New Roman" w:hAnsi="Times New Roman" w:eastAsia="宋体" w:cs="Times New Roman"/>
          <w:b/>
          <w:bCs/>
          <w:color w:val="000000"/>
          <w:sz w:val="24"/>
          <w:szCs w:val="24"/>
          <w:highlight w:val="none"/>
        </w:rPr>
      </w:pPr>
    </w:p>
    <w:tbl>
      <w:tblPr>
        <w:tblStyle w:val="40"/>
        <w:tblW w:w="8552" w:type="dxa"/>
        <w:jc w:val="center"/>
        <w:tblLayout w:type="fixed"/>
        <w:tblCellMar>
          <w:top w:w="0" w:type="dxa"/>
          <w:left w:w="108" w:type="dxa"/>
          <w:bottom w:w="0" w:type="dxa"/>
          <w:right w:w="108" w:type="dxa"/>
        </w:tblCellMar>
      </w:tblPr>
      <w:tblGrid>
        <w:gridCol w:w="3668"/>
        <w:gridCol w:w="1715"/>
        <w:gridCol w:w="1467"/>
        <w:gridCol w:w="1701"/>
      </w:tblGrid>
      <w:tr>
        <w:tblPrEx>
          <w:tblCellMar>
            <w:top w:w="0" w:type="dxa"/>
            <w:left w:w="108" w:type="dxa"/>
            <w:bottom w:w="0" w:type="dxa"/>
            <w:right w:w="108" w:type="dxa"/>
          </w:tblCellMar>
        </w:tblPrEx>
        <w:trPr>
          <w:trHeight w:val="737" w:hRule="atLeast"/>
          <w:jc w:val="center"/>
        </w:trPr>
        <w:tc>
          <w:tcPr>
            <w:tcW w:w="8551" w:type="dxa"/>
            <w:gridSpan w:val="4"/>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ascii="宋体" w:hAnsi="宋体" w:eastAsia="宋体"/>
                <w:color w:val="000000"/>
                <w:sz w:val="24"/>
                <w:szCs w:val="24"/>
                <w:highlight w:val="none"/>
              </w:rPr>
              <w:t>公司资产情况汇总表</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注册资金（万元）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4883"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年度资产情况</w:t>
            </w:r>
          </w:p>
        </w:tc>
        <w:tc>
          <w:tcPr>
            <w:tcW w:w="171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1</w:t>
            </w:r>
            <w:r>
              <w:rPr>
                <w:rFonts w:ascii="宋体" w:hAnsi="宋体" w:eastAsia="宋体"/>
                <w:color w:val="000000"/>
                <w:sz w:val="24"/>
                <w:szCs w:val="24"/>
                <w:highlight w:val="none"/>
              </w:rPr>
              <w:t>年</w:t>
            </w:r>
          </w:p>
        </w:tc>
        <w:tc>
          <w:tcPr>
            <w:tcW w:w="146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ascii="宋体" w:hAnsi="宋体" w:eastAsia="宋体"/>
                <w:color w:val="000000"/>
                <w:sz w:val="24"/>
                <w:szCs w:val="24"/>
                <w:highlight w:val="none"/>
              </w:rPr>
              <w:t>年</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eastAsia="宋体"/>
                <w:color w:val="000000"/>
                <w:sz w:val="24"/>
                <w:szCs w:val="24"/>
                <w:highlight w:val="none"/>
              </w:rPr>
            </w:pPr>
            <w:r>
              <w:rPr>
                <w:rFonts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ascii="宋体" w:hAnsi="宋体" w:eastAsia="宋体"/>
                <w:color w:val="000000"/>
                <w:sz w:val="24"/>
                <w:szCs w:val="24"/>
                <w:highlight w:val="none"/>
              </w:rPr>
              <w:t>年</w:t>
            </w: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流动资产（万元）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非流动资产（万元）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营业收入（万元）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年底资产总值（万元）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年底负债总值（万元）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  %）</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净利润（万元）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未分配利润（万元）</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营运资金</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r>
        <w:tblPrEx>
          <w:tblCellMar>
            <w:top w:w="0" w:type="dxa"/>
            <w:left w:w="108" w:type="dxa"/>
            <w:bottom w:w="0" w:type="dxa"/>
            <w:right w:w="108" w:type="dxa"/>
          </w:tblCellMar>
        </w:tblPrEx>
        <w:trPr>
          <w:trHeight w:val="737" w:hRule="atLeast"/>
          <w:jc w:val="center"/>
        </w:trPr>
        <w:tc>
          <w:tcPr>
            <w:tcW w:w="366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40" w:lineRule="exact"/>
              <w:jc w:val="center"/>
              <w:rPr>
                <w:rFonts w:ascii="宋体" w:hAnsi="宋体"/>
                <w:color w:val="000000"/>
                <w:sz w:val="24"/>
                <w:szCs w:val="24"/>
                <w:highlight w:val="none"/>
              </w:rPr>
            </w:pPr>
            <w:r>
              <w:rPr>
                <w:rFonts w:ascii="宋体" w:hAnsi="宋体" w:eastAsia="宋体"/>
                <w:color w:val="000000"/>
                <w:sz w:val="24"/>
                <w:szCs w:val="24"/>
                <w:highlight w:val="none"/>
              </w:rPr>
              <w:t>（本年营业收入-上年营业收入）÷上年营业收入</w:t>
            </w:r>
          </w:p>
        </w:tc>
        <w:tc>
          <w:tcPr>
            <w:tcW w:w="1715"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eastAsia="宋体"/>
                <w:color w:val="000000"/>
                <w:sz w:val="24"/>
                <w:szCs w:val="24"/>
                <w:highlight w:val="none"/>
              </w:rPr>
            </w:pPr>
          </w:p>
        </w:tc>
        <w:tc>
          <w:tcPr>
            <w:tcW w:w="1467"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c>
          <w:tcPr>
            <w:tcW w:w="1701" w:type="dxa"/>
            <w:tcBorders>
              <w:top w:val="single" w:color="000000" w:sz="4" w:space="0"/>
              <w:left w:val="single" w:color="000000" w:sz="4" w:space="0"/>
              <w:bottom w:val="single" w:color="000000" w:sz="4" w:space="0"/>
              <w:right w:val="single" w:color="000000" w:sz="4" w:space="0"/>
            </w:tcBorders>
          </w:tcPr>
          <w:p>
            <w:pPr>
              <w:widowControl w:val="0"/>
              <w:spacing w:before="0" w:after="0" w:line="440" w:lineRule="exact"/>
              <w:jc w:val="center"/>
              <w:rPr>
                <w:rFonts w:ascii="宋体" w:hAnsi="宋体"/>
                <w:color w:val="000000"/>
                <w:sz w:val="24"/>
                <w:szCs w:val="24"/>
                <w:highlight w:val="none"/>
              </w:rPr>
            </w:pPr>
          </w:p>
        </w:tc>
      </w:tr>
    </w:tbl>
    <w:p>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ind w:firstLine="240"/>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ind w:firstLine="240"/>
        <w:rPr>
          <w:rFonts w:ascii="宋体" w:hAnsi="宋体" w:eastAsia="宋体" w:cs="Times New Roman"/>
          <w:sz w:val="24"/>
          <w:szCs w:val="20"/>
          <w:highlight w:val="none"/>
        </w:rPr>
        <w:sectPr>
          <w:footerReference r:id="rId30" w:type="first"/>
          <w:footerReference r:id="rId29"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附件4 保密承诺函</w:t>
      </w:r>
    </w:p>
    <w:p>
      <w:pPr>
        <w:spacing w:line="240" w:lineRule="exact"/>
        <w:jc w:val="center"/>
        <w:rPr>
          <w:rFonts w:ascii="宋体" w:hAnsi="宋体" w:eastAsia="宋体" w:cs="Times New Roman"/>
          <w:b/>
          <w:bCs/>
          <w:sz w:val="36"/>
          <w:szCs w:val="20"/>
          <w:highlight w:val="none"/>
        </w:rPr>
      </w:pPr>
    </w:p>
    <w:p>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我代表（投标人名称）对招标人的商业秘密作如下承诺：</w:t>
      </w:r>
    </w:p>
    <w:p>
      <w:pPr>
        <w:spacing w:line="360" w:lineRule="auto"/>
        <w:ind w:left="479" w:firstLine="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无论是否中标、是否签署合同，对获得的招标人商业秘密（包括但不限于产品和/或装备的技术档、制造档、实验档和销售及售后服务档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pPr>
        <w:spacing w:line="360" w:lineRule="auto"/>
        <w:ind w:firstLine="480"/>
        <w:rPr>
          <w:rFonts w:ascii="宋体" w:hAnsi="宋体" w:eastAsia="宋体" w:cs="Times New Roman"/>
          <w:color w:val="000000"/>
          <w:sz w:val="24"/>
          <w:szCs w:val="24"/>
          <w:highlight w:val="none"/>
        </w:rPr>
        <w:sectPr>
          <w:footerReference r:id="rId33" w:type="first"/>
          <w:headerReference r:id="rId31" w:type="default"/>
          <w:footerReference r:id="rId32"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color w:val="000000"/>
          <w:sz w:val="24"/>
          <w:szCs w:val="24"/>
          <w:highlight w:val="none"/>
        </w:rPr>
        <w:t>日  期：       年    月    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宋体"/>
          <w:b/>
          <w:bCs/>
          <w:color w:val="000000"/>
          <w:sz w:val="24"/>
          <w:szCs w:val="24"/>
          <w:highlight w:val="none"/>
        </w:rPr>
        <w:t xml:space="preserve">附件5 </w:t>
      </w:r>
      <w:r>
        <w:rPr>
          <w:rFonts w:ascii="Times New Roman" w:hAnsi="Times New Roman" w:eastAsia="宋体" w:cs="Times New Roman"/>
          <w:b/>
          <w:bCs/>
          <w:color w:val="000000"/>
          <w:sz w:val="24"/>
          <w:szCs w:val="24"/>
          <w:highlight w:val="none"/>
        </w:rPr>
        <w:t>技术规格偏离表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1584"/>
        <w:gridCol w:w="3450"/>
        <w:gridCol w:w="2413"/>
        <w:gridCol w:w="1608"/>
      </w:tblGrid>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序号</w:t>
            </w:r>
          </w:p>
        </w:tc>
        <w:tc>
          <w:tcPr>
            <w:tcW w:w="34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招标要求</w:t>
            </w:r>
          </w:p>
        </w:tc>
        <w:tc>
          <w:tcPr>
            <w:tcW w:w="241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0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523" w:hRule="exac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19"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r>
        <w:tblPrEx>
          <w:tblCellMar>
            <w:top w:w="0" w:type="dxa"/>
            <w:left w:w="108" w:type="dxa"/>
            <w:bottom w:w="0" w:type="dxa"/>
            <w:right w:w="108" w:type="dxa"/>
          </w:tblCellMar>
        </w:tblPrEx>
        <w:trPr>
          <w:trHeight w:val="620" w:hRule="atLeast"/>
        </w:trPr>
        <w:tc>
          <w:tcPr>
            <w:tcW w:w="1584"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345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2413"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c>
          <w:tcPr>
            <w:tcW w:w="1608"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 w:val="24"/>
                <w:szCs w:val="20"/>
                <w:highlight w:val="none"/>
              </w:rPr>
            </w:pPr>
          </w:p>
        </w:tc>
      </w:tr>
    </w:tbl>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rPr>
          <w:rFonts w:ascii="宋体" w:hAnsi="宋体" w:eastAsia="宋体" w:cs="宋体"/>
          <w:b/>
          <w:bCs/>
          <w:color w:val="000000"/>
          <w:sz w:val="28"/>
          <w:szCs w:val="20"/>
          <w:highlight w:val="none"/>
        </w:rPr>
        <w:sectPr>
          <w:headerReference r:id="rId34" w:type="default"/>
          <w:footerReference r:id="rId35" w:type="default"/>
          <w:pgSz w:w="11906" w:h="16838"/>
          <w:pgMar w:top="1588" w:right="1418" w:bottom="1134" w:left="1418" w:header="0" w:footer="992" w:gutter="0"/>
          <w:pgNumType w:fmt="decimal"/>
          <w:cols w:space="720" w:num="1"/>
          <w:formProt w:val="0"/>
          <w:docGrid w:type="lines" w:linePitch="312" w:charSpace="0"/>
        </w:sectPr>
      </w:pP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附件6  202</w:t>
      </w:r>
      <w:r>
        <w:rPr>
          <w:rFonts w:hint="eastAsia" w:ascii="Times New Roman" w:hAnsi="Times New Roman" w:eastAsia="宋体" w:cs="Times New Roman"/>
          <w:b/>
          <w:bCs/>
          <w:color w:val="000000"/>
          <w:sz w:val="24"/>
          <w:szCs w:val="24"/>
          <w:highlight w:val="none"/>
          <w:lang w:val="en-US" w:eastAsia="zh-CN"/>
        </w:rPr>
        <w:t>1</w:t>
      </w:r>
      <w:r>
        <w:rPr>
          <w:rFonts w:ascii="Times New Roman" w:hAnsi="Times New Roman" w:eastAsia="宋体" w:cs="Times New Roman"/>
          <w:b/>
          <w:bCs/>
          <w:color w:val="000000"/>
          <w:sz w:val="24"/>
          <w:szCs w:val="24"/>
          <w:highlight w:val="none"/>
        </w:rPr>
        <w:t>年1月1日以来同类项目业绩一览表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Times New Roman"/>
          <w:color w:val="000000"/>
          <w:sz w:val="24"/>
          <w:szCs w:val="24"/>
          <w:highlight w:val="none"/>
        </w:rPr>
        <w:t xml:space="preserve">                                                            </w:t>
      </w:r>
    </w:p>
    <w:tbl>
      <w:tblPr>
        <w:tblStyle w:val="40"/>
        <w:tblW w:w="9056" w:type="dxa"/>
        <w:tblInd w:w="0" w:type="dxa"/>
        <w:tblLayout w:type="fixed"/>
        <w:tblCellMar>
          <w:top w:w="0" w:type="dxa"/>
          <w:left w:w="108" w:type="dxa"/>
          <w:bottom w:w="0" w:type="dxa"/>
          <w:right w:w="108" w:type="dxa"/>
        </w:tblCellMar>
      </w:tblPr>
      <w:tblGrid>
        <w:gridCol w:w="860"/>
        <w:gridCol w:w="2082"/>
        <w:gridCol w:w="1355"/>
        <w:gridCol w:w="825"/>
        <w:gridCol w:w="1321"/>
        <w:gridCol w:w="1022"/>
        <w:gridCol w:w="1590"/>
      </w:tblGrid>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序号</w:t>
            </w:r>
          </w:p>
        </w:tc>
        <w:tc>
          <w:tcPr>
            <w:tcW w:w="2082"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采购单位</w:t>
            </w:r>
          </w:p>
        </w:tc>
        <w:tc>
          <w:tcPr>
            <w:tcW w:w="135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项目名称</w:t>
            </w:r>
          </w:p>
          <w:p>
            <w:pPr>
              <w:widowControl w:val="0"/>
              <w:spacing w:before="0" w:after="0"/>
              <w:ind w:left="420" w:hanging="420"/>
              <w:jc w:val="center"/>
              <w:rPr>
                <w:rFonts w:ascii="宋体" w:hAnsi="宋体" w:eastAsia="宋体" w:cs="Times New Roman"/>
                <w:b/>
                <w:szCs w:val="21"/>
                <w:highlight w:val="none"/>
              </w:rPr>
            </w:pPr>
          </w:p>
        </w:tc>
        <w:tc>
          <w:tcPr>
            <w:tcW w:w="82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数量</w:t>
            </w:r>
          </w:p>
        </w:tc>
        <w:tc>
          <w:tcPr>
            <w:tcW w:w="1321"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合同金额（万元）</w:t>
            </w:r>
          </w:p>
        </w:tc>
        <w:tc>
          <w:tcPr>
            <w:tcW w:w="1022"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Times New Roman"/>
                <w:b/>
                <w:szCs w:val="21"/>
                <w:highlight w:val="none"/>
              </w:rPr>
            </w:pPr>
            <w:r>
              <w:rPr>
                <w:rFonts w:ascii="宋体" w:hAnsi="宋体" w:eastAsia="宋体" w:cs="Times New Roman"/>
                <w:b/>
                <w:szCs w:val="21"/>
                <w:highlight w:val="none"/>
              </w:rPr>
              <w:t>合同签订时间</w:t>
            </w:r>
          </w:p>
        </w:tc>
        <w:tc>
          <w:tcPr>
            <w:tcW w:w="159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联系人及</w:t>
            </w:r>
          </w:p>
          <w:p>
            <w:pPr>
              <w:widowControl w:val="0"/>
              <w:spacing w:before="0" w:after="0"/>
              <w:ind w:left="420" w:hanging="420"/>
              <w:jc w:val="center"/>
              <w:rPr>
                <w:rFonts w:ascii="宋体" w:hAnsi="宋体" w:eastAsia="宋体" w:cs="Times New Roman"/>
                <w:b/>
                <w:szCs w:val="21"/>
                <w:highlight w:val="none"/>
              </w:rPr>
            </w:pPr>
            <w:r>
              <w:rPr>
                <w:rFonts w:ascii="宋体" w:hAnsi="宋体" w:eastAsia="宋体" w:cs="Times New Roman"/>
                <w:b/>
                <w:szCs w:val="21"/>
                <w:highlight w:val="none"/>
              </w:rPr>
              <w:t>联系电话</w:t>
            </w: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1</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2</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3</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4</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5</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6</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7</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8</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jc w:val="center"/>
              <w:rPr>
                <w:rFonts w:ascii="宋体" w:hAnsi="宋体" w:eastAsia="宋体" w:cs="Times New Roman"/>
                <w:b/>
                <w:szCs w:val="20"/>
                <w:highlight w:val="none"/>
              </w:rPr>
            </w:pPr>
            <w:r>
              <w:rPr>
                <w:rFonts w:ascii="宋体" w:hAnsi="宋体" w:eastAsia="宋体" w:cs="Times New Roman"/>
                <w:b/>
                <w:szCs w:val="20"/>
                <w:highlight w:val="none"/>
              </w:rPr>
              <w:t>9</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r>
              <w:rPr>
                <w:rFonts w:ascii="宋体" w:hAnsi="宋体" w:eastAsia="宋体" w:cs="Times New Roman"/>
                <w:b/>
                <w:szCs w:val="20"/>
                <w:highlight w:val="none"/>
              </w:rPr>
              <w:t>……</w:t>
            </w: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86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208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5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r>
        <w:tblPrEx>
          <w:tblCellMar>
            <w:top w:w="0" w:type="dxa"/>
            <w:left w:w="108" w:type="dxa"/>
            <w:bottom w:w="0" w:type="dxa"/>
            <w:right w:w="108" w:type="dxa"/>
          </w:tblCellMar>
        </w:tblPrEx>
        <w:trPr>
          <w:trHeight w:val="620" w:hRule="atLeast"/>
        </w:trPr>
        <w:tc>
          <w:tcPr>
            <w:tcW w:w="4297" w:type="dxa"/>
            <w:gridSpan w:val="3"/>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r>
              <w:rPr>
                <w:rFonts w:ascii="宋体" w:hAnsi="宋体" w:eastAsia="宋体" w:cs="宋体"/>
                <w:sz w:val="24"/>
                <w:szCs w:val="24"/>
                <w:highlight w:val="none"/>
              </w:rPr>
              <w:t>202</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年1月1日至今所有业绩合同总额汇总（必填）</w:t>
            </w:r>
          </w:p>
        </w:tc>
        <w:tc>
          <w:tcPr>
            <w:tcW w:w="825"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321"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022"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c>
          <w:tcPr>
            <w:tcW w:w="1590" w:type="dxa"/>
            <w:tcBorders>
              <w:top w:val="single" w:color="000000" w:sz="4" w:space="0"/>
              <w:left w:val="single" w:color="000000" w:sz="4" w:space="0"/>
              <w:bottom w:val="single" w:color="000000" w:sz="4" w:space="0"/>
              <w:right w:val="single" w:color="000000" w:sz="4" w:space="0"/>
            </w:tcBorders>
          </w:tcPr>
          <w:p>
            <w:pPr>
              <w:widowControl w:val="0"/>
              <w:spacing w:before="0" w:after="0"/>
              <w:ind w:left="420" w:hanging="420"/>
              <w:rPr>
                <w:rFonts w:ascii="宋体" w:hAnsi="宋体" w:eastAsia="宋体" w:cs="Times New Roman"/>
                <w:b/>
                <w:szCs w:val="20"/>
                <w:highlight w:val="none"/>
              </w:rPr>
            </w:pPr>
          </w:p>
        </w:tc>
      </w:tr>
    </w:tbl>
    <w:p>
      <w:pPr>
        <w:spacing w:line="240" w:lineRule="atLeast"/>
        <w:rPr>
          <w:rFonts w:ascii="宋体" w:hAnsi="宋体" w:eastAsia="宋体" w:cs="宋体"/>
          <w:kern w:val="0"/>
          <w:sz w:val="24"/>
          <w:szCs w:val="20"/>
          <w:highlight w:val="none"/>
        </w:rPr>
      </w:pPr>
      <w:r>
        <w:rPr>
          <w:rFonts w:ascii="宋体" w:hAnsi="宋体" w:eastAsia="宋体" w:cs="Times New Roman"/>
          <w:sz w:val="24"/>
          <w:szCs w:val="20"/>
          <w:highlight w:val="none"/>
        </w:rPr>
        <w:t>注：</w:t>
      </w:r>
      <w:r>
        <w:rPr>
          <w:rFonts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1</w:t>
      </w:r>
      <w:r>
        <w:rPr>
          <w:rFonts w:ascii="宋体" w:hAnsi="宋体" w:eastAsia="宋体" w:cs="宋体"/>
          <w:kern w:val="0"/>
          <w:sz w:val="24"/>
          <w:szCs w:val="20"/>
          <w:highlight w:val="none"/>
        </w:rPr>
        <w:t>年1月1日以来同类产品的制造销售业绩（用户名单、联系方式）</w:t>
      </w:r>
      <w:r>
        <w:rPr>
          <w:rFonts w:ascii="宋体" w:hAnsi="宋体" w:eastAsia="宋体" w:cs="Times New Roman"/>
          <w:sz w:val="24"/>
          <w:szCs w:val="20"/>
          <w:highlight w:val="none"/>
        </w:rPr>
        <w:t>，并附合同复印件。</w:t>
      </w:r>
      <w:r>
        <w:rPr>
          <w:rFonts w:ascii="宋体" w:hAnsi="宋体" w:eastAsia="宋体" w:cs="宋体"/>
          <w:kern w:val="0"/>
          <w:sz w:val="24"/>
          <w:szCs w:val="20"/>
          <w:highlight w:val="none"/>
        </w:rPr>
        <w:t>该同类项目业绩一览表</w:t>
      </w:r>
      <w:r>
        <w:rPr>
          <w:rFonts w:ascii="宋体" w:hAnsi="宋体" w:eastAsia="宋体" w:cs="宋体"/>
          <w:b/>
          <w:bCs/>
          <w:kern w:val="0"/>
          <w:sz w:val="24"/>
          <w:szCs w:val="20"/>
          <w:highlight w:val="none"/>
        </w:rPr>
        <w:t>必须如实填写，应全尽全</w:t>
      </w:r>
      <w:r>
        <w:rPr>
          <w:rFonts w:ascii="宋体" w:hAnsi="宋体" w:eastAsia="宋体" w:cs="宋体"/>
          <w:kern w:val="0"/>
          <w:sz w:val="24"/>
          <w:szCs w:val="20"/>
          <w:highlight w:val="none"/>
        </w:rPr>
        <w:t>；一览表最终的所有业绩</w:t>
      </w:r>
      <w:r>
        <w:rPr>
          <w:rFonts w:ascii="宋体" w:hAnsi="宋体" w:eastAsia="宋体" w:cs="宋体"/>
          <w:b/>
          <w:bCs/>
          <w:kern w:val="0"/>
          <w:sz w:val="24"/>
          <w:szCs w:val="20"/>
          <w:highlight w:val="none"/>
        </w:rPr>
        <w:t>合同总额汇总必填</w:t>
      </w:r>
      <w:r>
        <w:rPr>
          <w:rFonts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sectPr>
          <w:footerReference r:id="rId38" w:type="first"/>
          <w:headerReference r:id="rId36" w:type="default"/>
          <w:footerReference r:id="rId37"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附件7 设备质量承诺函</w:t>
      </w:r>
    </w:p>
    <w:p>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pPr>
        <w:spacing w:line="360" w:lineRule="auto"/>
        <w:rPr>
          <w:rFonts w:ascii="宋体" w:hAnsi="宋体" w:eastAsia="宋体" w:cs="Times New Roman"/>
          <w:sz w:val="24"/>
          <w:szCs w:val="20"/>
          <w:highlight w:val="none"/>
          <w:u w:val="single"/>
        </w:rPr>
      </w:pPr>
      <w:r>
        <w:rPr>
          <w:rFonts w:ascii="宋体" w:hAnsi="宋体" w:eastAsia="宋体" w:cs="Times New Roman"/>
          <w:sz w:val="24"/>
          <w:szCs w:val="20"/>
          <w:highlight w:val="none"/>
        </w:rPr>
        <w:t xml:space="preserve">项目名称: </w:t>
      </w:r>
      <w:r>
        <w:rPr>
          <w:rFonts w:ascii="宋体" w:hAnsi="宋体" w:eastAsia="宋体" w:cs="Times New Roman"/>
          <w:sz w:val="24"/>
          <w:szCs w:val="20"/>
          <w:highlight w:val="none"/>
          <w:u w:val="single"/>
        </w:rPr>
        <w:t xml:space="preserve">  </w:t>
      </w:r>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我代表(投标人名称)为保证中标产品的质量特作如下承诺：</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left="480" w:firstLine="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sectPr>
          <w:footerReference r:id="rId41" w:type="first"/>
          <w:headerReference r:id="rId39" w:type="default"/>
          <w:footerReference r:id="rId40" w:type="default"/>
          <w:pgSz w:w="11906" w:h="16838"/>
          <w:pgMar w:top="1588" w:right="1418" w:bottom="1134" w:left="1418" w:header="851" w:footer="992" w:gutter="0"/>
          <w:pgNumType w:fmt="decimal"/>
          <w:cols w:space="720" w:num="1"/>
          <w:formProt w:val="0"/>
          <w:titlePg/>
          <w:docGrid w:type="lines" w:linePitch="312" w:charSpace="0"/>
        </w:sect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附件8 开标一览表</w:t>
      </w:r>
    </w:p>
    <w:p>
      <w:pPr>
        <w:spacing w:line="360" w:lineRule="auto"/>
        <w:ind w:firstLine="482"/>
        <w:rPr>
          <w:rFonts w:ascii="宋体" w:hAnsi="宋体" w:eastAsia="宋体" w:cs="Times New Roman"/>
          <w:b/>
          <w:color w:val="000000"/>
          <w:sz w:val="24"/>
          <w:szCs w:val="24"/>
          <w:highlight w:val="none"/>
        </w:rPr>
      </w:pPr>
      <w:r>
        <w:rPr>
          <w:rFonts w:ascii="宋体" w:hAnsi="宋体" w:eastAsia="宋体" w:cs="Times New Roman"/>
          <w:b/>
          <w:color w:val="000000"/>
          <w:sz w:val="24"/>
          <w:szCs w:val="24"/>
          <w:highlight w:val="none"/>
        </w:rPr>
        <w:t>《开标一览表》单独封存，以备唱标使用</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项目名称：</w:t>
      </w:r>
      <w:bookmarkStart w:id="55" w:name="OLE_LINK2"/>
      <w:r>
        <w:rPr>
          <w:rFonts w:ascii="宋体" w:hAnsi="宋体" w:eastAsia="宋体" w:cs="Times New Roman"/>
          <w:color w:val="000000"/>
          <w:sz w:val="24"/>
          <w:szCs w:val="24"/>
          <w:highlight w:val="none"/>
        </w:rPr>
        <w:t xml:space="preserve"> </w:t>
      </w:r>
      <w:bookmarkEnd w:id="55"/>
      <w:r>
        <w:rPr>
          <w:rFonts w:hint="eastAsia" w:ascii="宋体" w:hAnsi="宋体" w:eastAsia="宋体" w:cs="宋体"/>
          <w:b w:val="0"/>
          <w:bCs w:val="0"/>
          <w:sz w:val="24"/>
          <w:szCs w:val="22"/>
          <w:highlight w:val="none"/>
          <w:u w:val="single"/>
          <w:lang w:val="en-US" w:eastAsia="zh-CN"/>
        </w:rPr>
        <w:t>曲轴磨床增加共振点补偿功能项目</w:t>
      </w:r>
      <w:r>
        <w:rPr>
          <w:rFonts w:ascii="宋体" w:hAnsi="宋体" w:eastAsia="宋体" w:cs="Times New Roman"/>
          <w:color w:val="000000"/>
          <w:sz w:val="24"/>
          <w:szCs w:val="24"/>
          <w:highlight w:val="none"/>
        </w:rPr>
        <w:t xml:space="preserve">                                            </w:t>
      </w:r>
    </w:p>
    <w:tbl>
      <w:tblPr>
        <w:tblStyle w:val="40"/>
        <w:tblW w:w="9060" w:type="dxa"/>
        <w:jc w:val="center"/>
        <w:tblLayout w:type="fixed"/>
        <w:tblCellMar>
          <w:top w:w="0" w:type="dxa"/>
          <w:left w:w="108" w:type="dxa"/>
          <w:bottom w:w="0" w:type="dxa"/>
          <w:right w:w="108" w:type="dxa"/>
        </w:tblCellMar>
      </w:tblPr>
      <w:tblGrid>
        <w:gridCol w:w="676"/>
        <w:gridCol w:w="1519"/>
        <w:gridCol w:w="848"/>
        <w:gridCol w:w="2269"/>
        <w:gridCol w:w="1100"/>
        <w:gridCol w:w="1243"/>
        <w:gridCol w:w="705"/>
        <w:gridCol w:w="699"/>
      </w:tblGrid>
      <w:tr>
        <w:tblPrEx>
          <w:tblCellMar>
            <w:top w:w="0" w:type="dxa"/>
            <w:left w:w="108" w:type="dxa"/>
            <w:bottom w:w="0" w:type="dxa"/>
            <w:right w:w="108" w:type="dxa"/>
          </w:tblCellMar>
        </w:tblPrEx>
        <w:trPr>
          <w:cantSplit/>
          <w:trHeight w:val="1065"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序号</w:t>
            </w: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货物名称</w:t>
            </w: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数量</w:t>
            </w: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投标总价</w:t>
            </w:r>
            <w:r>
              <w:rPr>
                <w:rFonts w:ascii="等线" w:hAnsi="等线" w:eastAsia="宋体" w:cs="Times New Roman"/>
                <w:b/>
                <w:szCs w:val="20"/>
                <w:highlight w:val="none"/>
              </w:rPr>
              <w:t>（元）</w:t>
            </w: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质保期</w:t>
            </w: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交货及安装</w:t>
            </w:r>
          </w:p>
          <w:p>
            <w:pPr>
              <w:widowControl w:val="0"/>
              <w:spacing w:before="0" w:after="0"/>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时间</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等线" w:hAnsi="等线" w:eastAsia="宋体" w:cs="Times New Roman"/>
                <w:b/>
                <w:szCs w:val="20"/>
                <w:highlight w:val="none"/>
              </w:rPr>
              <w:t>付款方式及比例如何回应</w:t>
            </w: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付款方式及比例是否偏离</w:t>
            </w: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lang w:val="en-US" w:eastAsia="zh-CN"/>
              </w:rPr>
              <w:t>1</w:t>
            </w: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宋体" w:hAnsi="宋体" w:eastAsia="宋体" w:cs="宋体"/>
                <w:b/>
                <w:bCs/>
                <w:sz w:val="21"/>
                <w:szCs w:val="21"/>
                <w:highlight w:val="none"/>
                <w:u w:val="none"/>
                <w:lang w:val="en-US" w:eastAsia="zh-CN"/>
              </w:rPr>
            </w:pPr>
            <w:r>
              <w:rPr>
                <w:rFonts w:hint="eastAsia" w:ascii="宋体" w:hAnsi="宋体" w:eastAsia="宋体" w:cs="宋体"/>
                <w:b w:val="0"/>
                <w:bCs w:val="0"/>
                <w:sz w:val="24"/>
                <w:szCs w:val="22"/>
                <w:highlight w:val="none"/>
                <w:u w:val="none"/>
                <w:lang w:val="en-US" w:eastAsia="zh-CN"/>
              </w:rPr>
              <w:t>曲轴磨床增加共振点补偿功能</w:t>
            </w: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r>
              <w:rPr>
                <w:rFonts w:hint="eastAsia" w:ascii="Times New Roman" w:hAnsi="Times New Roman" w:eastAsia="宋体" w:cs="Times New Roman"/>
                <w:b/>
                <w:sz w:val="21"/>
                <w:szCs w:val="21"/>
                <w:highlight w:val="none"/>
                <w:lang w:val="en-US" w:eastAsia="zh-CN"/>
              </w:rPr>
              <w:t>1</w:t>
            </w: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不含税价：</w:t>
            </w:r>
          </w:p>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含税价格：</w:t>
            </w:r>
            <w:r>
              <w:rPr>
                <w:rFonts w:ascii="等线" w:hAnsi="等线" w:eastAsia="宋体" w:cs="Times New Roman"/>
                <w:b/>
                <w:szCs w:val="20"/>
                <w:highlight w:val="none"/>
                <w:u w:val="single"/>
              </w:rPr>
              <w:t xml:space="preserve">    （大写：    ）</w:t>
            </w:r>
          </w:p>
          <w:p>
            <w:pPr>
              <w:widowControl w:val="0"/>
              <w:spacing w:before="0" w:after="0"/>
              <w:jc w:val="center"/>
              <w:rPr>
                <w:rFonts w:ascii="等线" w:hAnsi="等线" w:eastAsia="等线" w:cs="Times New Roman"/>
                <w:b/>
                <w:szCs w:val="20"/>
                <w:highlight w:val="none"/>
              </w:rPr>
            </w:pPr>
            <w:r>
              <w:rPr>
                <w:rFonts w:ascii="等线" w:hAnsi="等线" w:eastAsia="宋体" w:cs="Times New Roman"/>
                <w:b/>
                <w:szCs w:val="20"/>
                <w:highlight w:val="none"/>
              </w:rPr>
              <w:t>税率：</w:t>
            </w: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cantSplit/>
          <w:trHeight w:val="1183"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eastAsia="zh-CN"/>
              </w:rPr>
            </w:pP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cantSplit/>
          <w:trHeight w:val="1234" w:hRule="atLeast"/>
          <w:jc w:val="center"/>
        </w:trPr>
        <w:tc>
          <w:tcPr>
            <w:tcW w:w="676"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lang w:val="en-US" w:eastAsia="zh-CN"/>
              </w:rPr>
            </w:pPr>
          </w:p>
        </w:tc>
        <w:tc>
          <w:tcPr>
            <w:tcW w:w="151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rPr>
            </w:pPr>
          </w:p>
        </w:tc>
        <w:tc>
          <w:tcPr>
            <w:tcW w:w="8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 w:val="21"/>
                <w:szCs w:val="21"/>
                <w:highlight w:val="none"/>
                <w:lang w:val="en-US" w:eastAsia="zh-CN"/>
              </w:rPr>
            </w:pPr>
          </w:p>
        </w:tc>
        <w:tc>
          <w:tcPr>
            <w:tcW w:w="226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等线" w:hAnsi="等线" w:eastAsia="等线" w:cs="Times New Roman"/>
                <w:b/>
                <w:szCs w:val="20"/>
                <w:highlight w:val="none"/>
              </w:rPr>
            </w:pPr>
          </w:p>
        </w:tc>
        <w:tc>
          <w:tcPr>
            <w:tcW w:w="110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24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699"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bl>
    <w:p>
      <w:pPr>
        <w:rPr>
          <w:rFonts w:ascii="宋体" w:hAnsi="宋体" w:eastAsia="宋体" w:cs="Times New Roman"/>
          <w:sz w:val="24"/>
          <w:szCs w:val="24"/>
          <w:highlight w:val="none"/>
        </w:rPr>
      </w:pPr>
    </w:p>
    <w:p>
      <w:pPr>
        <w:spacing w:line="400" w:lineRule="exact"/>
        <w:rPr>
          <w:rFonts w:ascii="宋体" w:hAnsi="宋体" w:eastAsia="宋体" w:cs="Times New Roman"/>
          <w:szCs w:val="21"/>
          <w:highlight w:val="none"/>
        </w:rPr>
      </w:pPr>
      <w:r>
        <w:rPr>
          <w:rFonts w:ascii="宋体" w:hAnsi="宋体" w:eastAsia="宋体" w:cs="Times New Roman"/>
          <w:b/>
          <w:bCs/>
          <w:szCs w:val="21"/>
          <w:highlight w:val="none"/>
        </w:rPr>
        <w:t>注：</w:t>
      </w:r>
    </w:p>
    <w:p>
      <w:pPr>
        <w:spacing w:line="520" w:lineRule="exact"/>
        <w:rPr>
          <w:rFonts w:ascii="宋体" w:hAnsi="宋体" w:eastAsia="宋体" w:cs="Times New Roman"/>
          <w:b/>
          <w:bCs/>
          <w:szCs w:val="21"/>
          <w:highlight w:val="none"/>
        </w:rPr>
      </w:pPr>
      <w:r>
        <w:rPr>
          <w:rFonts w:ascii="宋体" w:hAnsi="宋体" w:eastAsia="宋体" w:cs="Times New Roman"/>
          <w:b/>
          <w:bCs/>
          <w:szCs w:val="21"/>
          <w:highlight w:val="none"/>
        </w:rPr>
        <w:t>1.此表中的报价必须与相应的报价明细表中的报价一致。</w:t>
      </w:r>
    </w:p>
    <w:p>
      <w:pPr>
        <w:spacing w:line="300" w:lineRule="auto"/>
        <w:rPr>
          <w:rFonts w:ascii="宋体" w:hAnsi="宋体" w:eastAsia="宋体" w:cs="Times New Roman"/>
          <w:b/>
          <w:bCs/>
          <w:szCs w:val="21"/>
          <w:highlight w:val="none"/>
        </w:rPr>
      </w:pPr>
      <w:r>
        <w:rPr>
          <w:rFonts w:ascii="宋体" w:hAnsi="宋体" w:eastAsia="宋体" w:cs="Times New Roman"/>
          <w:b/>
          <w:bCs/>
          <w:szCs w:val="21"/>
          <w:highlight w:val="none"/>
        </w:rPr>
        <w:t>2.此表在投递标书时请单独密封两份，否则不予唱标。</w:t>
      </w:r>
    </w:p>
    <w:p>
      <w:pPr>
        <w:spacing w:line="300" w:lineRule="auto"/>
        <w:rPr>
          <w:rFonts w:ascii="宋体" w:hAnsi="宋体" w:eastAsia="宋体" w:cs="宋体"/>
          <w:b/>
          <w:szCs w:val="20"/>
          <w:highlight w:val="none"/>
        </w:rPr>
      </w:pPr>
      <w:r>
        <w:rPr>
          <w:rFonts w:ascii="宋体" w:hAnsi="宋体" w:eastAsia="宋体" w:cs="宋体"/>
          <w:b/>
          <w:szCs w:val="20"/>
          <w:highlight w:val="none"/>
        </w:rPr>
        <w:t>3.需写明含税价、不含税价格、税率。</w:t>
      </w:r>
    </w:p>
    <w:p>
      <w:pPr>
        <w:pStyle w:val="2"/>
        <w:rPr>
          <w:rFonts w:eastAsia="宋体" w:cs="宋体"/>
          <w:b/>
          <w:szCs w:val="20"/>
          <w:highlight w:val="none"/>
        </w:rPr>
      </w:pPr>
      <w:r>
        <w:rPr>
          <w:rFonts w:eastAsia="宋体" w:cs="宋体"/>
          <w:b/>
          <w:szCs w:val="20"/>
          <w:highlight w:val="none"/>
        </w:rPr>
        <w:t>4.投标总价包括设备费、调试费、备品备件、特殊工具、运杂费、装卸费、技术服务费、保险费及增值税和其他税费。</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投标人：（盖章）</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法定代表人（委托代理人）：（签字）</w:t>
      </w:r>
    </w:p>
    <w:p>
      <w:pPr>
        <w:spacing w:line="660" w:lineRule="exact"/>
        <w:rPr>
          <w:rFonts w:ascii="宋体" w:hAnsi="宋体" w:eastAsia="宋体" w:cs="Times New Roman"/>
          <w:sz w:val="24"/>
          <w:szCs w:val="20"/>
          <w:highlight w:val="none"/>
        </w:rPr>
      </w:pPr>
      <w:r>
        <w:rPr>
          <w:rFonts w:ascii="宋体" w:hAnsi="宋体" w:eastAsia="宋体" w:cs="Times New Roman"/>
          <w:sz w:val="24"/>
          <w:szCs w:val="20"/>
          <w:highlight w:val="none"/>
        </w:rPr>
        <w:t>日  期：</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ascii="宋体" w:hAnsi="宋体" w:eastAsia="宋体" w:cs="Times New Roman"/>
          <w:sz w:val="24"/>
          <w:szCs w:val="20"/>
          <w:highlight w:val="none"/>
        </w:rPr>
        <w:t>日</w:t>
      </w:r>
    </w:p>
    <w:p>
      <w:pPr>
        <w:ind w:firstLine="480"/>
        <w:rPr>
          <w:rFonts w:ascii="宋体" w:hAnsi="宋体" w:eastAsia="宋体" w:cs="Times New Roman"/>
          <w:color w:val="000000"/>
          <w:sz w:val="24"/>
          <w:szCs w:val="24"/>
          <w:highlight w:val="none"/>
        </w:rPr>
        <w:sectPr>
          <w:headerReference r:id="rId42" w:type="default"/>
          <w:footerReference r:id="rId43" w:type="default"/>
          <w:pgSz w:w="11906" w:h="16838"/>
          <w:pgMar w:top="1588" w:right="1418" w:bottom="1134" w:left="1418" w:header="0" w:footer="992" w:gutter="0"/>
          <w:pgNumType w:fmt="decimal"/>
          <w:cols w:space="720" w:num="1"/>
          <w:formProt w:val="0"/>
          <w:docGrid w:type="lines" w:linePitch="312" w:charSpace="0"/>
        </w:sectPr>
      </w:pPr>
    </w:p>
    <w:p>
      <w:pPr>
        <w:pStyle w:val="5"/>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ascii="宋体" w:hAnsi="宋体" w:eastAsia="宋体" w:cs="宋体"/>
          <w:color w:val="000000"/>
          <w:sz w:val="24"/>
          <w:szCs w:val="24"/>
          <w:highlight w:val="none"/>
        </w:rPr>
        <w:t xml:space="preserve">附件9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pStyle w:val="6"/>
        <w:rPr>
          <w:rFonts w:ascii="宋体" w:hAnsi="宋体" w:eastAsia="宋体" w:cs="宋体"/>
          <w:b/>
          <w:bCs/>
          <w:color w:val="000000"/>
          <w:sz w:val="28"/>
          <w:szCs w:val="20"/>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9-1</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after="0" w:line="220" w:lineRule="auto"/>
        <w:jc w:val="both"/>
        <w:rPr>
          <w:rFonts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p>
    <w:tbl>
      <w:tblPr>
        <w:tblStyle w:val="140"/>
        <w:tblW w:w="15127" w:type="dxa"/>
        <w:jc w:val="center"/>
        <w:tblLayout w:type="fixed"/>
        <w:tblCellMar>
          <w:top w:w="0" w:type="dxa"/>
          <w:left w:w="2" w:type="dxa"/>
          <w:bottom w:w="0" w:type="dxa"/>
          <w:right w:w="2" w:type="dxa"/>
        </w:tblCellMar>
      </w:tblPr>
      <w:tblGrid>
        <w:gridCol w:w="535"/>
        <w:gridCol w:w="1352"/>
        <w:gridCol w:w="6350"/>
        <w:gridCol w:w="602"/>
        <w:gridCol w:w="627"/>
        <w:gridCol w:w="1003"/>
        <w:gridCol w:w="429"/>
        <w:gridCol w:w="1541"/>
        <w:gridCol w:w="1571"/>
        <w:gridCol w:w="1117"/>
      </w:tblGrid>
      <w:tr>
        <w:tblPrEx>
          <w:tblCellMar>
            <w:top w:w="0" w:type="dxa"/>
            <w:left w:w="2" w:type="dxa"/>
            <w:bottom w:w="0" w:type="dxa"/>
            <w:right w:w="2" w:type="dxa"/>
          </w:tblCellMar>
        </w:tblPrEx>
        <w:trPr>
          <w:cantSplit/>
          <w:trHeight w:val="655"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1352"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6350"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602"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cantSplit/>
          <w:trHeight w:val="413"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1</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41"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cantSplit/>
          <w:trHeight w:val="346"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2</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kern w:val="2"/>
                <w:sz w:val="21"/>
                <w:szCs w:val="21"/>
                <w:highlight w:val="none"/>
                <w:lang w:val="en-US" w:eastAsia="zh-CN" w:bidi="ar-SA"/>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center"/>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cantSplit/>
          <w:trHeight w:val="379"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3</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left"/>
              <w:textAlignment w:val="center"/>
              <w:rPr>
                <w:rFonts w:hint="eastAsia"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cantSplit/>
          <w:trHeight w:val="518" w:hRule="atLeast"/>
          <w:jc w:val="center"/>
        </w:trPr>
        <w:tc>
          <w:tcPr>
            <w:tcW w:w="535"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4</w:t>
            </w:r>
          </w:p>
        </w:tc>
        <w:tc>
          <w:tcPr>
            <w:tcW w:w="1352"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center"/>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350" w:type="dxa"/>
            <w:tcBorders>
              <w:top w:val="single" w:color="000000" w:sz="2" w:space="0"/>
              <w:left w:val="single" w:color="000000" w:sz="4" w:space="0"/>
              <w:bottom w:val="single" w:color="000000" w:sz="2" w:space="0"/>
              <w:right w:val="single" w:color="000000" w:sz="4" w:space="0"/>
            </w:tcBorders>
            <w:vAlign w:val="center"/>
          </w:tcPr>
          <w:p>
            <w:pPr>
              <w:keepNext w:val="0"/>
              <w:keepLines w:val="0"/>
              <w:widowControl w:val="0"/>
              <w:spacing w:before="0" w:after="0" w:line="240" w:lineRule="auto"/>
              <w:jc w:val="left"/>
              <w:textAlignment w:val="center"/>
              <w:rPr>
                <w:rFonts w:hint="default" w:ascii="宋体" w:hAnsi="宋体" w:eastAsia="宋体" w:cs="宋体"/>
                <w:i w:val="0"/>
                <w:iCs w:val="0"/>
                <w:color w:val="auto"/>
                <w:kern w:val="2"/>
                <w:sz w:val="21"/>
                <w:szCs w:val="21"/>
                <w:highlight w:val="none"/>
                <w:u w:val="none"/>
                <w:lang w:val="en-US" w:eastAsia="zh-CN" w:bidi="ar-SA"/>
              </w:rPr>
            </w:pPr>
          </w:p>
        </w:tc>
        <w:tc>
          <w:tcPr>
            <w:tcW w:w="602" w:type="dxa"/>
            <w:tcBorders>
              <w:top w:val="single" w:color="000000" w:sz="2" w:space="0"/>
              <w:left w:val="single" w:color="000000" w:sz="4" w:space="0"/>
              <w:bottom w:val="single" w:color="000000" w:sz="2" w:space="0"/>
              <w:right w:val="single" w:color="000000" w:sz="4" w:space="0"/>
            </w:tcBorders>
            <w:vAlign w:val="center"/>
          </w:tcPr>
          <w:p>
            <w:pPr>
              <w:keepNext w:val="0"/>
              <w:keepLines w:val="0"/>
              <w:pageBreakBefore w:val="0"/>
              <w:widowControl w:val="0"/>
              <w:kinsoku/>
              <w:wordWrap/>
              <w:overflowPunct w:val="0"/>
              <w:topLinePunct w:val="0"/>
              <w:autoSpaceDE/>
              <w:autoSpaceDN/>
              <w:bidi w:val="0"/>
              <w:adjustRightInd/>
              <w:snapToGrid/>
              <w:spacing w:line="240" w:lineRule="auto"/>
              <w:jc w:val="center"/>
              <w:textAlignment w:val="center"/>
              <w:rPr>
                <w:rFonts w:hint="default" w:ascii="宋体" w:hAnsi="宋体" w:eastAsia="宋体" w:cs="宋体"/>
                <w:color w:val="auto"/>
                <w:szCs w:val="21"/>
                <w:highlight w:val="none"/>
                <w:lang w:val="en-US" w:eastAsia="zh-CN"/>
              </w:rPr>
            </w:pPr>
          </w:p>
        </w:tc>
        <w:tc>
          <w:tcPr>
            <w:tcW w:w="62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line="240" w:lineRule="auto"/>
              <w:jc w:val="both"/>
              <w:rPr>
                <w:rFonts w:hint="default" w:ascii="宋体" w:hAnsi="宋体" w:eastAsia="宋体" w:cs="宋体"/>
                <w:color w:val="auto"/>
                <w:kern w:val="2"/>
                <w:position w:val="0"/>
                <w:sz w:val="21"/>
                <w:szCs w:val="21"/>
                <w:highlight w:val="none"/>
                <w:vertAlign w:val="baseline"/>
                <w:lang w:val="en-US" w:eastAsia="zh-CN" w:bidi="ar-SA"/>
              </w:rPr>
            </w:pPr>
          </w:p>
        </w:tc>
        <w:tc>
          <w:tcPr>
            <w:tcW w:w="1432" w:type="dxa"/>
            <w:gridSpan w:val="2"/>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4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jc w:val="center"/>
              <w:textAlignment w:val="center"/>
              <w:rPr>
                <w:rFonts w:ascii="Arial" w:hAnsi="Arial"/>
                <w:color w:val="auto"/>
                <w:highlight w:val="none"/>
              </w:rPr>
            </w:pPr>
          </w:p>
        </w:tc>
        <w:tc>
          <w:tcPr>
            <w:tcW w:w="1571"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4"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cantSplit/>
          <w:trHeight w:val="369" w:hRule="atLeast"/>
          <w:jc w:val="center"/>
        </w:trPr>
        <w:tc>
          <w:tcPr>
            <w:tcW w:w="10469" w:type="dxa"/>
            <w:gridSpan w:val="6"/>
            <w:tcBorders>
              <w:top w:val="single" w:color="000000" w:sz="2" w:space="0"/>
              <w:left w:val="single" w:color="000000" w:sz="2" w:space="0"/>
              <w:bottom w:val="single" w:color="000000" w:sz="2" w:space="0"/>
              <w:right w:val="single" w:color="000000" w:sz="4" w:space="0"/>
            </w:tcBorders>
          </w:tcPr>
          <w:p>
            <w:pPr>
              <w:widowControl w:val="0"/>
              <w:spacing w:before="0" w:after="0"/>
              <w:jc w:val="center"/>
              <w:rPr>
                <w:rFonts w:ascii="Arial" w:hAns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1970" w:type="dxa"/>
            <w:gridSpan w:val="2"/>
            <w:tcBorders>
              <w:top w:val="single" w:color="000000" w:sz="2" w:space="0"/>
              <w:left w:val="single" w:color="000000" w:sz="4" w:space="0"/>
              <w:bottom w:val="single" w:color="000000" w:sz="2" w:space="0"/>
              <w:right w:val="single" w:color="000000" w:sz="2" w:space="0"/>
            </w:tcBorders>
          </w:tcPr>
          <w:p>
            <w:pPr>
              <w:widowControl w:val="0"/>
              <w:spacing w:before="0" w:after="0"/>
              <w:jc w:val="center"/>
              <w:rPr>
                <w:rFonts w:ascii="宋体" w:hAnsi="宋体" w:eastAsia="宋体" w:cs="宋体"/>
                <w:spacing w:val="-6"/>
                <w:szCs w:val="21"/>
                <w:highlight w:val="none"/>
              </w:rPr>
            </w:pPr>
          </w:p>
        </w:tc>
        <w:tc>
          <w:tcPr>
            <w:tcW w:w="1571" w:type="dxa"/>
            <w:tcBorders>
              <w:top w:val="single" w:color="000000" w:sz="2" w:space="0"/>
              <w:left w:val="single" w:color="000000" w:sz="4" w:space="0"/>
              <w:bottom w:val="single" w:color="000000" w:sz="2" w:space="0"/>
              <w:right w:val="single" w:color="000000" w:sz="2" w:space="0"/>
            </w:tcBorders>
          </w:tcPr>
          <w:p>
            <w:pPr>
              <w:widowControl w:val="0"/>
              <w:spacing w:before="0" w:after="0"/>
              <w:rPr>
                <w:rFonts w:ascii="Arial" w:hAnsi="Arial"/>
                <w:highlight w:val="none"/>
              </w:rPr>
            </w:pPr>
          </w:p>
        </w:tc>
        <w:tc>
          <w:tcPr>
            <w:tcW w:w="1117" w:type="dxa"/>
            <w:tcBorders>
              <w:top w:val="single" w:color="000000" w:sz="2" w:space="0"/>
              <w:left w:val="single" w:color="000000" w:sz="4" w:space="0"/>
              <w:bottom w:val="single" w:color="000000" w:sz="2" w:space="0"/>
              <w:right w:val="single" w:color="000000" w:sz="2" w:space="0"/>
            </w:tcBorders>
          </w:tcPr>
          <w:p>
            <w:pPr>
              <w:widowControl w:val="0"/>
              <w:spacing w:before="0" w:after="0"/>
              <w:rPr>
                <w:rFonts w:ascii="Arial" w:hAnsi="Arial"/>
                <w:highlight w:val="none"/>
              </w:rPr>
            </w:pPr>
          </w:p>
        </w:tc>
      </w:tr>
    </w:tbl>
    <w:p>
      <w:pPr>
        <w:spacing w:before="58" w:after="0" w:line="218" w:lineRule="auto"/>
        <w:ind w:left="8" w:firstLine="0"/>
        <w:rPr>
          <w:rFonts w:ascii="宋体" w:hAnsi="宋体" w:eastAsia="宋体" w:cs="宋体"/>
          <w:spacing w:val="-8"/>
          <w:szCs w:val="21"/>
          <w:highlight w:val="none"/>
        </w:rPr>
      </w:pPr>
    </w:p>
    <w:p>
      <w:pPr>
        <w:spacing w:before="58" w:after="0" w:line="218" w:lineRule="auto"/>
        <w:ind w:left="8" w:firstLine="0"/>
        <w:rPr>
          <w:rFonts w:ascii="宋体" w:hAnsi="宋体" w:eastAsia="宋体" w:cs="宋体"/>
          <w:szCs w:val="21"/>
          <w:highlight w:val="none"/>
        </w:rPr>
      </w:pPr>
      <w:r>
        <w:rPr>
          <w:rFonts w:ascii="宋体" w:hAnsi="宋体" w:eastAsia="宋体" w:cs="宋体"/>
          <w:spacing w:val="-8"/>
          <w:szCs w:val="21"/>
          <w:highlight w:val="none"/>
        </w:rPr>
        <w:t>注： 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pPr>
        <w:spacing w:before="78" w:after="0" w:line="218" w:lineRule="auto"/>
        <w:ind w:left="431"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pPr>
        <w:spacing w:before="85" w:after="0" w:line="196" w:lineRule="auto"/>
        <w:ind w:left="432" w:firstLine="0"/>
        <w:rPr>
          <w:rFonts w:ascii="宋体" w:hAnsi="宋体" w:eastAsia="宋体" w:cs="宋体"/>
          <w:b/>
          <w:bCs/>
          <w:color w:val="000000"/>
          <w:sz w:val="28"/>
          <w:szCs w:val="20"/>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了方便招标人对投标档进行分析比较，不作为限制订立合同的条件</w:t>
      </w:r>
      <w:r>
        <w:rPr>
          <w:rFonts w:ascii="宋体" w:hAnsi="宋体" w:eastAsia="宋体" w:cs="宋体"/>
          <w:spacing w:val="-2"/>
          <w:sz w:val="24"/>
          <w:szCs w:val="24"/>
          <w:highlight w:val="none"/>
        </w:rPr>
        <w:t>。</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left="431" w:firstLine="0"/>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pStyle w:val="2"/>
        <w:rPr>
          <w:rFonts w:ascii="宋体" w:hAnsi="宋体" w:eastAsia="宋体" w:cs="宋体"/>
          <w:spacing w:val="-6"/>
          <w:szCs w:val="21"/>
          <w:highlight w:val="none"/>
        </w:rPr>
      </w:pPr>
    </w:p>
    <w:p>
      <w:pPr>
        <w:pStyle w:val="2"/>
        <w:rPr>
          <w:rFonts w:ascii="宋体" w:hAnsi="宋体" w:eastAsia="宋体" w:cs="宋体"/>
          <w:spacing w:val="-6"/>
          <w:szCs w:val="21"/>
          <w:highlight w:val="none"/>
        </w:rPr>
      </w:pPr>
    </w:p>
    <w:p>
      <w:pPr>
        <w:pStyle w:val="2"/>
        <w:rPr>
          <w:rFonts w:hint="default" w:ascii="宋体" w:hAnsi="宋体" w:eastAsia="宋体" w:cs="宋体"/>
          <w:spacing w:val="-6"/>
          <w:szCs w:val="21"/>
          <w:highlight w:val="none"/>
          <w:lang w:val="en-US" w:eastAsia="zh-CN"/>
        </w:rPr>
      </w:pPr>
      <w:r>
        <w:rPr>
          <w:rFonts w:ascii="宋体" w:hAnsi="宋体" w:eastAsia="宋体" w:cs="宋体"/>
          <w:spacing w:val="-4"/>
          <w:sz w:val="24"/>
          <w:szCs w:val="24"/>
          <w:highlight w:val="none"/>
        </w:rPr>
        <w:t>投标人(章)：</w:t>
      </w:r>
      <w:r>
        <w:rPr>
          <w:rFonts w:hint="eastAsia" w:eastAsia="宋体" w:cs="宋体"/>
          <w:spacing w:val="-4"/>
          <w:sz w:val="24"/>
          <w:szCs w:val="24"/>
          <w:highlight w:val="none"/>
          <w:lang w:val="en-US" w:eastAsia="zh-CN"/>
        </w:rPr>
        <w:t xml:space="preserve">               </w:t>
      </w:r>
      <w:r>
        <w:rPr>
          <w:rFonts w:ascii="宋体" w:hAnsi="宋体" w:eastAsia="宋体" w:cs="宋体"/>
          <w:spacing w:val="-2"/>
          <w:sz w:val="24"/>
          <w:szCs w:val="24"/>
          <w:highlight w:val="none"/>
        </w:rPr>
        <w:t>授权代表(签字)：</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pStyle w:val="2"/>
        <w:rPr>
          <w:rFonts w:ascii="宋体" w:hAnsi="宋体" w:eastAsia="宋体" w:cs="宋体"/>
          <w:spacing w:val="-6"/>
          <w:szCs w:val="21"/>
          <w:highlight w:val="none"/>
        </w:rPr>
        <w:sectPr>
          <w:headerReference r:id="rId44" w:type="default"/>
          <w:footerReference r:id="rId45" w:type="default"/>
          <w:pgSz w:w="16838" w:h="11906"/>
          <w:pgMar w:top="400" w:right="1699" w:bottom="1184" w:left="1481" w:header="0" w:footer="1022" w:gutter="0"/>
          <w:pgNumType w:fmt="decimal"/>
          <w:cols w:space="720" w:num="1"/>
          <w:formProt w:val="0"/>
          <w:docGrid w:linePitch="100" w:charSpace="0"/>
        </w:sectPr>
      </w:pPr>
    </w:p>
    <w:p>
      <w:pPr>
        <w:pStyle w:val="2"/>
        <w:rPr>
          <w:rFonts w:ascii="宋体" w:hAnsi="宋体" w:eastAsia="宋体" w:cs="宋体"/>
          <w:spacing w:val="-6"/>
          <w:szCs w:val="21"/>
          <w:highlight w:val="none"/>
        </w:rPr>
      </w:pPr>
    </w:p>
    <w:p>
      <w:pP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pPr>
        <w:spacing w:before="186" w:after="0" w:line="223" w:lineRule="auto"/>
        <w:ind w:left="5342" w:firstLine="0"/>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pPr>
        <w:spacing w:before="132" w:after="0" w:line="220" w:lineRule="auto"/>
        <w:ind w:left="310"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z w:val="24"/>
          <w:szCs w:val="24"/>
          <w:highlight w:val="none"/>
        </w:rPr>
      </w:pPr>
    </w:p>
    <w:tbl>
      <w:tblPr>
        <w:tblStyle w:val="140"/>
        <w:tblW w:w="13434" w:type="dxa"/>
        <w:tblInd w:w="223" w:type="dxa"/>
        <w:tblLayout w:type="fixed"/>
        <w:tblCellMar>
          <w:top w:w="0" w:type="dxa"/>
          <w:left w:w="2" w:type="dxa"/>
          <w:bottom w:w="0" w:type="dxa"/>
          <w:right w:w="2" w:type="dxa"/>
        </w:tblCellMar>
      </w:tblPr>
      <w:tblGrid>
        <w:gridCol w:w="799"/>
        <w:gridCol w:w="3529"/>
        <w:gridCol w:w="2160"/>
        <w:gridCol w:w="2186"/>
        <w:gridCol w:w="2595"/>
        <w:gridCol w:w="2164"/>
      </w:tblGrid>
      <w:tr>
        <w:tblPrEx>
          <w:tblCellMar>
            <w:top w:w="0" w:type="dxa"/>
            <w:left w:w="2" w:type="dxa"/>
            <w:bottom w:w="0" w:type="dxa"/>
            <w:right w:w="2" w:type="dxa"/>
          </w:tblCellMar>
        </w:tblPrEx>
        <w:trPr>
          <w:trHeight w:val="470" w:hRule="atLeast"/>
        </w:trPr>
        <w:tc>
          <w:tcPr>
            <w:tcW w:w="799" w:type="dxa"/>
            <w:vMerge w:val="restart"/>
            <w:tcBorders>
              <w:top w:val="single" w:color="000000" w:sz="2" w:space="0"/>
              <w:left w:val="single" w:color="000000" w:sz="2" w:space="0"/>
              <w:right w:val="single" w:color="000000" w:sz="2" w:space="0"/>
            </w:tcBorders>
          </w:tcPr>
          <w:p>
            <w:pPr>
              <w:widowControl w:val="0"/>
              <w:spacing w:before="0" w:after="0" w:line="295" w:lineRule="auto"/>
              <w:rPr>
                <w:rFonts w:ascii="Arial" w:hAnsi="Arial"/>
                <w:highlight w:val="none"/>
              </w:rPr>
            </w:pPr>
          </w:p>
          <w:p>
            <w:pPr>
              <w:widowControl w:val="0"/>
              <w:spacing w:before="68" w:after="0" w:line="220" w:lineRule="auto"/>
              <w:ind w:left="194"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29" w:type="dxa"/>
            <w:vMerge w:val="restart"/>
            <w:tcBorders>
              <w:top w:val="single" w:color="000000" w:sz="2" w:space="0"/>
              <w:left w:val="single" w:color="000000" w:sz="2" w:space="0"/>
              <w:right w:val="single" w:color="000000" w:sz="2" w:space="0"/>
            </w:tcBorders>
          </w:tcPr>
          <w:p>
            <w:pPr>
              <w:widowControl w:val="0"/>
              <w:spacing w:before="0" w:after="0" w:line="292" w:lineRule="auto"/>
              <w:rPr>
                <w:rFonts w:ascii="Arial" w:hAnsi="Arial"/>
                <w:highlight w:val="none"/>
              </w:rPr>
            </w:pPr>
          </w:p>
          <w:p>
            <w:pPr>
              <w:widowControl w:val="0"/>
              <w:spacing w:before="68" w:after="0" w:line="220" w:lineRule="auto"/>
              <w:ind w:left="147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60" w:type="dxa"/>
            <w:vMerge w:val="restart"/>
            <w:tcBorders>
              <w:top w:val="single" w:color="000000" w:sz="2" w:space="0"/>
              <w:left w:val="single" w:color="000000" w:sz="2" w:space="0"/>
              <w:right w:val="single" w:color="000000" w:sz="2" w:space="0"/>
            </w:tcBorders>
          </w:tcPr>
          <w:p>
            <w:pPr>
              <w:widowControl w:val="0"/>
              <w:spacing w:before="130" w:after="0" w:line="220" w:lineRule="auto"/>
              <w:ind w:left="766"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vMerge w:val="restart"/>
            <w:tcBorders>
              <w:top w:val="single" w:color="000000" w:sz="2" w:space="0"/>
              <w:left w:val="single" w:color="000000" w:sz="2" w:space="0"/>
              <w:right w:val="single" w:color="000000" w:sz="2" w:space="0"/>
            </w:tcBorders>
          </w:tcPr>
          <w:p>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2595" w:type="dxa"/>
            <w:vMerge w:val="restart"/>
            <w:tcBorders>
              <w:top w:val="single" w:color="000000" w:sz="2" w:space="0"/>
              <w:left w:val="single" w:color="000000" w:sz="2" w:space="0"/>
              <w:right w:val="single" w:color="000000" w:sz="2" w:space="0"/>
            </w:tcBorders>
          </w:tcPr>
          <w:p>
            <w:pPr>
              <w:widowControl w:val="0"/>
              <w:spacing w:before="131" w:after="0" w:line="218"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总价(元)（不含税）</w:t>
            </w:r>
          </w:p>
        </w:tc>
        <w:tc>
          <w:tcPr>
            <w:tcW w:w="2164" w:type="dxa"/>
            <w:vMerge w:val="restart"/>
            <w:tcBorders>
              <w:top w:val="single" w:color="000000" w:sz="2" w:space="0"/>
              <w:left w:val="single" w:color="000000" w:sz="2" w:space="0"/>
              <w:right w:val="single" w:color="000000" w:sz="2" w:space="0"/>
            </w:tcBorders>
          </w:tcPr>
          <w:p>
            <w:pPr>
              <w:widowControl w:val="0"/>
              <w:spacing w:before="130" w:after="0" w:line="220" w:lineRule="auto"/>
              <w:ind w:left="770" w:firstLine="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465" w:hRule="atLeast"/>
        </w:trPr>
        <w:tc>
          <w:tcPr>
            <w:tcW w:w="799"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529"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0" w:type="dxa"/>
            <w:vMerge w:val="continue"/>
            <w:tcBorders>
              <w:left w:val="single" w:color="000000" w:sz="2" w:space="0"/>
              <w:bottom w:val="single" w:color="000000" w:sz="2" w:space="0"/>
              <w:right w:val="single" w:color="000000" w:sz="2" w:space="0"/>
            </w:tcBorders>
          </w:tcPr>
          <w:p>
            <w:pPr>
              <w:widowControl w:val="0"/>
              <w:spacing w:before="160" w:after="0" w:line="184" w:lineRule="auto"/>
              <w:ind w:left="1044" w:firstLine="0"/>
              <w:rPr>
                <w:rFonts w:ascii="宋体" w:hAnsi="宋体" w:eastAsia="宋体" w:cs="宋体"/>
                <w:szCs w:val="21"/>
                <w:highlight w:val="none"/>
              </w:rPr>
            </w:pPr>
            <w:r>
              <w:rPr>
                <w:rFonts w:ascii="宋体" w:hAnsi="宋体" w:eastAsia="宋体" w:cs="宋体"/>
                <w:szCs w:val="21"/>
                <w:highlight w:val="none"/>
              </w:rPr>
              <w:t>1</w:t>
            </w:r>
          </w:p>
        </w:tc>
        <w:tc>
          <w:tcPr>
            <w:tcW w:w="2186" w:type="dxa"/>
            <w:vMerge w:val="continue"/>
            <w:tcBorders>
              <w:left w:val="single" w:color="000000" w:sz="2" w:space="0"/>
              <w:bottom w:val="single" w:color="000000" w:sz="2" w:space="0"/>
              <w:right w:val="single" w:color="000000" w:sz="2" w:space="0"/>
            </w:tcBorders>
          </w:tcPr>
          <w:p>
            <w:pPr>
              <w:widowControl w:val="0"/>
              <w:spacing w:before="161" w:after="0" w:line="184" w:lineRule="auto"/>
              <w:ind w:left="1047" w:firstLine="0"/>
              <w:rPr>
                <w:rFonts w:ascii="宋体" w:hAnsi="宋体" w:eastAsia="宋体" w:cs="宋体"/>
                <w:szCs w:val="21"/>
                <w:highlight w:val="none"/>
              </w:rPr>
            </w:pPr>
            <w:r>
              <w:rPr>
                <w:rFonts w:ascii="宋体" w:hAnsi="宋体" w:eastAsia="宋体" w:cs="宋体"/>
                <w:szCs w:val="21"/>
                <w:highlight w:val="none"/>
              </w:rPr>
              <w:t>2</w:t>
            </w:r>
          </w:p>
        </w:tc>
        <w:tc>
          <w:tcPr>
            <w:tcW w:w="2595" w:type="dxa"/>
            <w:vMerge w:val="continue"/>
            <w:tcBorders>
              <w:left w:val="single" w:color="000000" w:sz="2" w:space="0"/>
              <w:bottom w:val="single" w:color="000000" w:sz="2" w:space="0"/>
              <w:right w:val="single" w:color="000000" w:sz="2" w:space="0"/>
            </w:tcBorders>
          </w:tcPr>
          <w:p>
            <w:pPr>
              <w:widowControl w:val="0"/>
              <w:spacing w:before="126" w:after="0" w:line="220" w:lineRule="auto"/>
              <w:ind w:left="835" w:firstLine="0"/>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vMerge w:val="continue"/>
            <w:tcBorders>
              <w:left w:val="single" w:color="000000" w:sz="2" w:space="0"/>
              <w:bottom w:val="single" w:color="000000" w:sz="2" w:space="0"/>
              <w:right w:val="single" w:color="000000" w:sz="2" w:space="0"/>
            </w:tcBorders>
          </w:tcPr>
          <w:p>
            <w:pPr>
              <w:widowControl w:val="0"/>
              <w:spacing w:before="161" w:after="0" w:line="184" w:lineRule="auto"/>
              <w:ind w:left="1031" w:firstLine="0"/>
              <w:rPr>
                <w:rFonts w:ascii="宋体" w:hAnsi="宋体" w:eastAsia="宋体" w:cs="宋体"/>
                <w:szCs w:val="21"/>
                <w:highlight w:val="none"/>
              </w:rPr>
            </w:pPr>
            <w:r>
              <w:rPr>
                <w:rFonts w:ascii="宋体" w:hAnsi="宋体" w:eastAsia="宋体" w:cs="宋体"/>
                <w:szCs w:val="21"/>
                <w:highlight w:val="none"/>
              </w:rPr>
              <w:t>4</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4" w:after="0" w:line="184" w:lineRule="auto"/>
              <w:ind w:left="353" w:firstLine="0"/>
              <w:rPr>
                <w:rFonts w:ascii="宋体" w:hAnsi="宋体" w:eastAsia="宋体" w:cs="宋体"/>
                <w:szCs w:val="21"/>
                <w:highlight w:val="none"/>
              </w:rPr>
            </w:pPr>
            <w:r>
              <w:rPr>
                <w:rFonts w:ascii="宋体" w:hAnsi="宋体" w:eastAsia="宋体" w:cs="宋体"/>
                <w:szCs w:val="21"/>
                <w:highlight w:val="none"/>
              </w:rPr>
              <w:t>1</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5" w:after="0" w:line="182" w:lineRule="auto"/>
              <w:ind w:left="355" w:firstLine="0"/>
              <w:rPr>
                <w:rFonts w:ascii="宋体" w:hAnsi="宋体" w:eastAsia="宋体" w:cs="宋体"/>
                <w:szCs w:val="21"/>
                <w:highlight w:val="none"/>
              </w:rPr>
            </w:pPr>
            <w:r>
              <w:rPr>
                <w:rFonts w:ascii="宋体" w:hAnsi="宋体" w:eastAsia="宋体" w:cs="宋体"/>
                <w:szCs w:val="21"/>
                <w:highlight w:val="none"/>
              </w:rPr>
              <w:t>2</w:t>
            </w:r>
          </w:p>
        </w:tc>
        <w:tc>
          <w:tcPr>
            <w:tcW w:w="3529" w:type="dxa"/>
            <w:vMerge w:val="restart"/>
            <w:tcBorders>
              <w:top w:val="single" w:color="000000" w:sz="2" w:space="0"/>
              <w:left w:val="single" w:color="000000" w:sz="2" w:space="0"/>
              <w:right w:val="single" w:color="000000" w:sz="2" w:space="0"/>
            </w:tcBorders>
          </w:tcPr>
          <w:p>
            <w:pPr>
              <w:widowControl w:val="0"/>
              <w:spacing w:before="209"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60"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186"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595" w:type="dxa"/>
            <w:vMerge w:val="restart"/>
            <w:tcBorders>
              <w:top w:val="single" w:color="000000" w:sz="2" w:space="0"/>
              <w:left w:val="single" w:color="000000" w:sz="2" w:space="0"/>
              <w:right w:val="single" w:color="000000" w:sz="2" w:space="0"/>
            </w:tcBorders>
          </w:tcPr>
          <w:p>
            <w:pPr>
              <w:widowControl w:val="0"/>
              <w:spacing w:before="0" w:after="0"/>
              <w:rPr>
                <w:rFonts w:ascii="Arial" w:hAnsi="Arial"/>
                <w:highlight w:val="none"/>
              </w:rPr>
            </w:pPr>
          </w:p>
        </w:tc>
        <w:tc>
          <w:tcPr>
            <w:tcW w:w="2164" w:type="dxa"/>
            <w:vMerge w:val="restart"/>
            <w:tcBorders>
              <w:top w:val="single" w:color="000000" w:sz="2" w:space="0"/>
              <w:left w:val="single" w:color="000000" w:sz="2" w:space="0"/>
              <w:right w:val="single" w:color="000000" w:sz="2" w:space="0"/>
            </w:tcBorders>
          </w:tcPr>
          <w:p>
            <w:pPr>
              <w:widowControl w:val="0"/>
              <w:spacing w:before="0" w:after="0" w:line="292" w:lineRule="auto"/>
              <w:rPr>
                <w:rFonts w:ascii="Arial" w:hAnsi="Arial"/>
                <w:highlight w:val="none"/>
              </w:rPr>
            </w:pPr>
          </w:p>
          <w:p>
            <w:pPr>
              <w:widowControl w:val="0"/>
              <w:spacing w:before="68" w:after="0"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tblPrEx>
          <w:tblCellMar>
            <w:top w:w="0" w:type="dxa"/>
            <w:left w:w="2" w:type="dxa"/>
            <w:bottom w:w="0" w:type="dxa"/>
            <w:right w:w="2" w:type="dxa"/>
          </w:tblCellMar>
        </w:tblPrEx>
        <w:trPr>
          <w:trHeight w:val="631"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8" w:after="0" w:line="184" w:lineRule="auto"/>
              <w:ind w:left="350" w:firstLine="0"/>
              <w:rPr>
                <w:rFonts w:ascii="宋体" w:hAnsi="宋体" w:eastAsia="宋体" w:cs="宋体"/>
                <w:szCs w:val="21"/>
                <w:highlight w:val="none"/>
              </w:rPr>
            </w:pPr>
            <w:r>
              <w:rPr>
                <w:rFonts w:ascii="宋体" w:hAnsi="宋体" w:eastAsia="宋体" w:cs="宋体"/>
                <w:szCs w:val="21"/>
                <w:highlight w:val="none"/>
              </w:rPr>
              <w:t>3</w:t>
            </w:r>
          </w:p>
        </w:tc>
        <w:tc>
          <w:tcPr>
            <w:tcW w:w="3529" w:type="dxa"/>
            <w:vMerge w:val="continue"/>
            <w:tcBorders>
              <w:left w:val="single" w:color="000000" w:sz="2" w:space="0"/>
              <w:bottom w:val="single" w:color="000000" w:sz="2" w:space="0"/>
              <w:right w:val="single" w:color="000000" w:sz="2" w:space="0"/>
            </w:tcBorders>
          </w:tcPr>
          <w:p>
            <w:pPr>
              <w:widowControl w:val="0"/>
              <w:spacing w:before="212" w:after="0" w:line="220" w:lineRule="auto"/>
              <w:ind w:left="1241" w:firstLine="0"/>
              <w:rPr>
                <w:rFonts w:ascii="宋体" w:hAnsi="宋体" w:eastAsia="宋体" w:cs="宋体"/>
                <w:szCs w:val="21"/>
                <w:highlight w:val="none"/>
              </w:rPr>
            </w:pPr>
            <w:r>
              <w:rPr>
                <w:rFonts w:ascii="宋体" w:hAnsi="宋体" w:eastAsia="宋体" w:cs="宋体"/>
                <w:spacing w:val="-1"/>
                <w:szCs w:val="21"/>
                <w:highlight w:val="none"/>
              </w:rPr>
              <w:t>运输保险费</w:t>
            </w:r>
          </w:p>
        </w:tc>
        <w:tc>
          <w:tcPr>
            <w:tcW w:w="2160"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vMerge w:val="continue"/>
            <w:tcBorders>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7" w:after="0" w:line="180" w:lineRule="auto"/>
              <w:ind w:left="355" w:firstLine="0"/>
              <w:rPr>
                <w:rFonts w:ascii="宋体" w:hAnsi="宋体" w:eastAsia="宋体" w:cs="宋体"/>
                <w:szCs w:val="21"/>
                <w:highlight w:val="none"/>
              </w:rPr>
            </w:pPr>
            <w:r>
              <w:rPr>
                <w:rFonts w:ascii="宋体" w:hAnsi="宋体" w:eastAsia="宋体" w:cs="宋体"/>
                <w:szCs w:val="21"/>
                <w:highlight w:val="none"/>
              </w:rPr>
              <w:t>4</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1450" w:firstLine="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457" w:firstLine="0"/>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tblPrEx>
          <w:tblCellMar>
            <w:top w:w="0" w:type="dxa"/>
            <w:left w:w="2" w:type="dxa"/>
            <w:bottom w:w="0" w:type="dxa"/>
            <w:right w:w="2" w:type="dxa"/>
          </w:tblCellMar>
        </w:tblPrEx>
        <w:trPr>
          <w:trHeight w:val="628" w:hRule="atLeast"/>
        </w:trPr>
        <w:tc>
          <w:tcPr>
            <w:tcW w:w="799" w:type="dxa"/>
            <w:tcBorders>
              <w:top w:val="single" w:color="000000" w:sz="2" w:space="0"/>
              <w:left w:val="single" w:color="000000" w:sz="2" w:space="0"/>
              <w:bottom w:val="single" w:color="000000" w:sz="2" w:space="0"/>
              <w:right w:val="single" w:color="000000" w:sz="2" w:space="0"/>
            </w:tcBorders>
          </w:tcPr>
          <w:p>
            <w:pPr>
              <w:widowControl w:val="0"/>
              <w:spacing w:before="247" w:after="0" w:line="182" w:lineRule="auto"/>
              <w:ind w:left="352" w:firstLine="0"/>
              <w:rPr>
                <w:rFonts w:ascii="宋体" w:hAnsi="宋体" w:eastAsia="宋体" w:cs="宋体"/>
                <w:szCs w:val="21"/>
                <w:highlight w:val="none"/>
              </w:rPr>
            </w:pPr>
            <w:r>
              <w:rPr>
                <w:rFonts w:ascii="宋体" w:hAnsi="宋体" w:eastAsia="宋体" w:cs="宋体"/>
                <w:szCs w:val="21"/>
                <w:highlight w:val="none"/>
              </w:rPr>
              <w:t>5</w:t>
            </w:r>
          </w:p>
        </w:tc>
        <w:tc>
          <w:tcPr>
            <w:tcW w:w="3529" w:type="dxa"/>
            <w:tcBorders>
              <w:top w:val="single" w:color="000000" w:sz="2" w:space="0"/>
              <w:left w:val="single" w:color="000000" w:sz="2" w:space="0"/>
              <w:bottom w:val="single" w:color="000000" w:sz="2" w:space="0"/>
              <w:right w:val="single" w:color="000000" w:sz="2" w:space="0"/>
            </w:tcBorders>
          </w:tcPr>
          <w:p>
            <w:pPr>
              <w:widowControl w:val="0"/>
              <w:spacing w:before="211" w:after="0" w:line="220" w:lineRule="auto"/>
              <w:ind w:left="1557" w:firstLine="0"/>
              <w:rPr>
                <w:rFonts w:ascii="宋体" w:hAnsi="宋体" w:eastAsia="宋体" w:cs="宋体"/>
                <w:szCs w:val="21"/>
                <w:highlight w:val="none"/>
              </w:rPr>
            </w:pPr>
            <w:r>
              <w:rPr>
                <w:rFonts w:ascii="宋体" w:hAnsi="宋体" w:eastAsia="宋体" w:cs="宋体"/>
                <w:spacing w:val="-2"/>
                <w:szCs w:val="21"/>
                <w:highlight w:val="none"/>
              </w:rPr>
              <w:t>其他</w:t>
            </w:r>
          </w:p>
        </w:tc>
        <w:tc>
          <w:tcPr>
            <w:tcW w:w="2160"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86"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595"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2164" w:type="dxa"/>
            <w:tcBorders>
              <w:top w:val="single" w:color="000000" w:sz="2" w:space="0"/>
              <w:left w:val="single" w:color="000000" w:sz="2" w:space="0"/>
              <w:bottom w:val="single" w:color="000000" w:sz="2" w:space="0"/>
              <w:right w:val="single" w:color="000000" w:sz="2" w:space="0"/>
            </w:tcBorders>
          </w:tcPr>
          <w:p>
            <w:pPr>
              <w:widowControl w:val="0"/>
              <w:spacing w:before="210" w:after="0" w:line="220" w:lineRule="auto"/>
              <w:ind w:left="456" w:firstLine="0"/>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tblPrEx>
          <w:tblCellMar>
            <w:top w:w="0" w:type="dxa"/>
            <w:left w:w="2" w:type="dxa"/>
            <w:bottom w:w="0" w:type="dxa"/>
            <w:right w:w="2" w:type="dxa"/>
          </w:tblCellMar>
        </w:tblPrEx>
        <w:trPr>
          <w:trHeight w:val="633" w:hRule="atLeast"/>
        </w:trPr>
        <w:tc>
          <w:tcPr>
            <w:tcW w:w="8674" w:type="dxa"/>
            <w:gridSpan w:val="4"/>
            <w:tcBorders>
              <w:top w:val="single" w:color="000000" w:sz="2" w:space="0"/>
              <w:left w:val="single" w:color="000000" w:sz="2" w:space="0"/>
              <w:bottom w:val="single" w:color="000000" w:sz="2" w:space="0"/>
              <w:right w:val="single" w:color="000000" w:sz="2" w:space="0"/>
            </w:tcBorders>
          </w:tcPr>
          <w:p>
            <w:pPr>
              <w:widowControl w:val="0"/>
              <w:spacing w:before="211" w:after="0" w:line="218" w:lineRule="auto"/>
              <w:ind w:left="3008"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759" w:type="dxa"/>
            <w:gridSpan w:val="2"/>
            <w:tcBorders>
              <w:top w:val="single" w:color="000000" w:sz="2" w:space="0"/>
              <w:left w:val="single" w:color="000000" w:sz="2" w:space="0"/>
              <w:bottom w:val="single" w:color="000000" w:sz="2" w:space="0"/>
              <w:right w:val="single" w:color="000000" w:sz="2" w:space="0"/>
            </w:tcBorders>
          </w:tcPr>
          <w:p>
            <w:pPr>
              <w:widowControl w:val="0"/>
              <w:spacing w:before="211"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pPr>
        <w:spacing w:before="59" w:after="0" w:line="218" w:lineRule="auto"/>
        <w:ind w:left="211" w:firstLine="0"/>
        <w:rPr>
          <w:rFonts w:ascii="宋体" w:hAnsi="宋体" w:eastAsia="宋体" w:cs="宋体"/>
          <w:szCs w:val="21"/>
          <w:highlight w:val="none"/>
        </w:rPr>
      </w:pPr>
      <w:r>
        <w:rPr>
          <w:rFonts w:ascii="宋体" w:hAnsi="宋体" w:eastAsia="宋体" w:cs="宋体"/>
          <w:spacing w:val="-10"/>
          <w:szCs w:val="21"/>
          <w:highlight w:val="none"/>
        </w:rPr>
        <w:t xml:space="preserve">注： </w:t>
      </w:r>
      <w:r>
        <w:rPr>
          <w:rFonts w:ascii="宋体" w:hAnsi="宋体" w:eastAsia="宋体" w:cs="宋体"/>
          <w:spacing w:val="-5"/>
          <w:szCs w:val="21"/>
          <w:highlight w:val="none"/>
        </w:rPr>
        <w:t>1.投标人需另附页给出价格的详细说明。</w:t>
      </w:r>
    </w:p>
    <w:p>
      <w:pPr>
        <w:spacing w:before="77" w:after="0"/>
        <w:ind w:left="633" w:firstLine="0"/>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pPr>
        <w:spacing w:before="64" w:after="0" w:line="196" w:lineRule="auto"/>
        <w:ind w:firstLine="606"/>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594"/>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594"/>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6"/>
          <w:szCs w:val="21"/>
          <w:highlight w:val="none"/>
        </w:rPr>
        <w:t>6.因填写不规范造成废标及终止招标的，责任由投标人自负。</w:t>
      </w:r>
    </w:p>
    <w:p>
      <w:pPr>
        <w:spacing w:before="140" w:after="0" w:line="218" w:lineRule="auto"/>
        <w:ind w:left="2" w:firstLine="464"/>
        <w:rPr>
          <w:rFonts w:ascii="宋体" w:hAnsi="宋体" w:eastAsia="宋体" w:cs="宋体"/>
          <w:spacing w:val="-2"/>
          <w:sz w:val="24"/>
          <w:szCs w:val="24"/>
          <w:highlight w:val="none"/>
        </w:rPr>
        <w:sectPr>
          <w:footerReference r:id="rId46"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pPr>
        <w:spacing w:before="104" w:after="0" w:line="223" w:lineRule="auto"/>
        <w:ind w:left="5024" w:firstLine="0"/>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pPr>
        <w:spacing w:before="134" w:after="0" w:line="220" w:lineRule="auto"/>
        <w:ind w:left="212" w:firstLine="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ind w:firstLine="416"/>
        <w:rPr>
          <w:sz w:val="24"/>
          <w:szCs w:val="24"/>
          <w:highlight w:val="none"/>
        </w:rPr>
      </w:pPr>
      <w:bookmarkStart w:id="56" w:name="OLE_LINK5"/>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bookmarkEnd w:id="56"/>
      <w:r>
        <w:rPr>
          <w:rFonts w:ascii="宋体" w:hAnsi="宋体" w:eastAsia="宋体" w:cs="宋体"/>
          <w:spacing w:val="-1"/>
          <w:szCs w:val="21"/>
          <w:highlight w:val="none"/>
        </w:rPr>
        <w:t xml:space="preserve">  </w:t>
      </w:r>
    </w:p>
    <w:p>
      <w:pPr>
        <w:spacing w:line="20" w:lineRule="exact"/>
        <w:rPr>
          <w:sz w:val="24"/>
          <w:szCs w:val="24"/>
          <w:highlight w:val="none"/>
        </w:rPr>
      </w:pPr>
    </w:p>
    <w:tbl>
      <w:tblPr>
        <w:tblStyle w:val="140"/>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tblPrEx>
          <w:tblCellMar>
            <w:top w:w="0" w:type="dxa"/>
            <w:left w:w="2" w:type="dxa"/>
            <w:bottom w:w="0" w:type="dxa"/>
            <w:right w:w="2" w:type="dxa"/>
          </w:tblCellMar>
        </w:tblPrEx>
        <w:trPr>
          <w:trHeight w:val="727"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6"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7"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1</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617"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2</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630"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ascii="宋体" w:hAnsi="宋体" w:eastAsia="宋体" w:cs="宋体"/>
                <w:szCs w:val="21"/>
                <w:highlight w:val="none"/>
              </w:rPr>
            </w:pPr>
            <w:r>
              <w:rPr>
                <w:rFonts w:ascii="宋体" w:hAnsi="宋体" w:eastAsia="宋体" w:cs="宋体"/>
                <w:szCs w:val="21"/>
                <w:highlight w:val="none"/>
              </w:rPr>
              <w:t>3</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5"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6</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01"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zCs w:val="21"/>
          <w:highlight w:val="none"/>
          <w:lang w:val="en-US" w:eastAsia="zh-CN"/>
        </w:rPr>
        <w:sectPr>
          <w:headerReference r:id="rId47" w:type="default"/>
          <w:footerReference r:id="rId48" w:type="default"/>
          <w:pgSz w:w="16838" w:h="11906"/>
          <w:pgMar w:top="400" w:right="1699" w:bottom="1184" w:left="1481" w:header="0" w:footer="1022" w:gutter="0"/>
          <w:pgNumType w:fmt="decimal"/>
          <w:cols w:space="720" w:num="1"/>
          <w:formProt w:val="0"/>
          <w:docGrid w:linePitch="100" w:charSpace="0"/>
        </w:sectPr>
      </w:pPr>
    </w:p>
    <w:tbl>
      <w:tblPr>
        <w:tblStyle w:val="140"/>
        <w:tblW w:w="13513" w:type="dxa"/>
        <w:tblInd w:w="223" w:type="dxa"/>
        <w:tblLayout w:type="fixed"/>
        <w:tblCellMar>
          <w:top w:w="0" w:type="dxa"/>
          <w:left w:w="2" w:type="dxa"/>
          <w:bottom w:w="0" w:type="dxa"/>
          <w:right w:w="2" w:type="dxa"/>
        </w:tblCellMar>
      </w:tblPr>
      <w:tblGrid>
        <w:gridCol w:w="709"/>
        <w:gridCol w:w="3626"/>
        <w:gridCol w:w="1126"/>
        <w:gridCol w:w="1137"/>
        <w:gridCol w:w="1138"/>
        <w:gridCol w:w="2449"/>
        <w:gridCol w:w="3328"/>
      </w:tblGrid>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11</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其他(列出明细)</w:t>
            </w: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auto"/>
                <w:spacing w:val="-1"/>
                <w:kern w:val="2"/>
                <w:sz w:val="21"/>
                <w:szCs w:val="21"/>
                <w:highlight w:val="none"/>
                <w:lang w:val="en-US" w:eastAsia="zh-CN" w:bidi="ar-SA"/>
              </w:rPr>
            </w:pPr>
            <w:r>
              <w:rPr>
                <w:rFonts w:hint="eastAsia" w:ascii="宋体" w:hAnsi="宋体" w:eastAsia="宋体" w:cs="宋体"/>
                <w:spacing w:val="-1"/>
                <w:szCs w:val="21"/>
                <w:highlight w:val="none"/>
                <w:lang w:val="en-US" w:eastAsia="zh-CN"/>
              </w:rPr>
              <w:t>(可另附页)</w:t>
            </w: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13</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color w:val="FF0000"/>
                <w:spacing w:val="-1"/>
                <w:szCs w:val="21"/>
                <w:highlight w:val="none"/>
                <w:lang w:val="en-US" w:eastAsia="zh-CN"/>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r>
      <w:tr>
        <w:tblPrEx>
          <w:tblCellMar>
            <w:top w:w="0" w:type="dxa"/>
            <w:left w:w="2" w:type="dxa"/>
            <w:bottom w:w="0" w:type="dxa"/>
            <w:right w:w="2" w:type="dxa"/>
          </w:tblCellMar>
        </w:tblPrEx>
        <w:trPr>
          <w:trHeight w:val="723" w:hRule="atLeast"/>
        </w:trPr>
        <w:tc>
          <w:tcPr>
            <w:tcW w:w="70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14</w:t>
            </w:r>
          </w:p>
        </w:tc>
        <w:tc>
          <w:tcPr>
            <w:tcW w:w="36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26"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7"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113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2449"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c>
          <w:tcPr>
            <w:tcW w:w="3328"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spacing w:val="-1"/>
                <w:szCs w:val="21"/>
                <w:highlight w:val="none"/>
                <w:lang w:val="en-US" w:eastAsia="zh-CN"/>
              </w:rPr>
            </w:pPr>
          </w:p>
        </w:tc>
      </w:tr>
      <w:tr>
        <w:tblPrEx>
          <w:tblCellMar>
            <w:top w:w="0" w:type="dxa"/>
            <w:left w:w="2" w:type="dxa"/>
            <w:bottom w:w="0" w:type="dxa"/>
            <w:right w:w="2" w:type="dxa"/>
          </w:tblCellMar>
        </w:tblPrEx>
        <w:trPr>
          <w:trHeight w:val="734" w:hRule="atLeast"/>
        </w:trPr>
        <w:tc>
          <w:tcPr>
            <w:tcW w:w="433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总价合计列入价格汇总表 9-5</w:t>
            </w:r>
          </w:p>
        </w:tc>
        <w:tc>
          <w:tcPr>
            <w:tcW w:w="1126"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7"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top w:val="single" w:color="000000" w:sz="2" w:space="0"/>
              <w:bottom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pPr>
        <w:spacing w:before="78" w:after="0" w:line="223" w:lineRule="auto"/>
        <w:ind w:firstLine="178"/>
        <w:rPr>
          <w:rFonts w:hint="default" w:ascii="宋体" w:hAnsi="宋体" w:eastAsia="宋体" w:cs="宋体"/>
          <w:spacing w:val="-8"/>
          <w:szCs w:val="21"/>
          <w:highlight w:val="none"/>
          <w:lang w:val="en-US" w:eastAsia="zh-CN"/>
        </w:rPr>
      </w:pPr>
      <w:r>
        <w:rPr>
          <w:rFonts w:ascii="宋体" w:hAnsi="宋体" w:eastAsia="宋体" w:cs="宋体"/>
          <w:spacing w:val="-16"/>
          <w:szCs w:val="21"/>
          <w:highlight w:val="none"/>
        </w:rPr>
        <w:t>注</w:t>
      </w:r>
      <w:r>
        <w:rPr>
          <w:rFonts w:ascii="宋体" w:hAnsi="宋体" w:eastAsia="宋体" w:cs="宋体"/>
          <w:spacing w:val="-8"/>
          <w:szCs w:val="21"/>
          <w:highlight w:val="none"/>
        </w:rPr>
        <w:t>：   1.投标人需给出价格的详细说明。</w:t>
      </w:r>
    </w:p>
    <w:p>
      <w:pPr>
        <w:spacing w:before="75" w:after="0" w:line="218" w:lineRule="auto"/>
        <w:ind w:left="409" w:firstLine="396"/>
        <w:rPr>
          <w:sz w:val="24"/>
          <w:szCs w:val="24"/>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35" w:after="0" w:line="237" w:lineRule="auto"/>
        <w:ind w:firstLine="824"/>
        <w:rPr>
          <w:rFonts w:ascii="宋体" w:hAnsi="宋体" w:eastAsia="宋体" w:cs="宋体"/>
          <w:szCs w:val="21"/>
          <w:highlight w:val="none"/>
        </w:rPr>
      </w:pPr>
      <w:r>
        <w:rPr>
          <w:rFonts w:ascii="宋体" w:hAnsi="宋体" w:eastAsia="宋体" w:cs="宋体"/>
          <w:spacing w:val="-2"/>
          <w:szCs w:val="21"/>
          <w:highlight w:val="none"/>
        </w:rPr>
        <w:t>3.此分项</w:t>
      </w:r>
      <w:r>
        <w:rPr>
          <w:rFonts w:ascii="宋体" w:hAnsi="宋体" w:eastAsia="宋体" w:cs="宋体"/>
          <w:spacing w:val="-1"/>
          <w:szCs w:val="21"/>
          <w:highlight w:val="none"/>
        </w:rPr>
        <w:t>报价，仅是为了方便招标人对投标档进行比较，不作为限制订立合同的条件。</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792"/>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rPr>
          <w:sz w:val="24"/>
          <w:szCs w:val="24"/>
          <w:highlight w:val="none"/>
        </w:rPr>
      </w:pPr>
    </w:p>
    <w:p>
      <w:pPr>
        <w:pStyle w:val="2"/>
        <w:rPr>
          <w:sz w:val="24"/>
          <w:szCs w:val="24"/>
          <w:highlight w:val="none"/>
        </w:rPr>
      </w:pPr>
    </w:p>
    <w:p>
      <w:pPr>
        <w:spacing w:before="35" w:after="0" w:line="237" w:lineRule="auto"/>
        <w:ind w:left="724" w:firstLine="0"/>
        <w:rPr>
          <w:rFonts w:ascii="宋体" w:hAnsi="宋体" w:eastAsia="宋体" w:cs="宋体"/>
          <w:spacing w:val="-1"/>
          <w:sz w:val="24"/>
          <w:szCs w:val="24"/>
          <w:highlight w:val="none"/>
        </w:rPr>
        <w:sectPr>
          <w:footerReference r:id="rId49" w:type="default"/>
          <w:pgSz w:w="16838" w:h="11906"/>
          <w:pgMar w:top="400" w:right="1699" w:bottom="1184" w:left="1481" w:header="0" w:footer="1022" w:gutter="0"/>
          <w:pgNumType w:fmt="decimal"/>
          <w:cols w:space="720" w:num="1"/>
          <w:formProt w:val="0"/>
          <w:docGrid w:linePitch="100" w:charSpace="0"/>
        </w:sect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9-4</w:t>
      </w:r>
    </w:p>
    <w:p>
      <w:pPr>
        <w:spacing w:before="125" w:after="0" w:line="292"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pPr>
        <w:spacing w:line="218" w:lineRule="auto"/>
        <w:ind w:left="1" w:firstLine="0"/>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lang w:val="en-US" w:eastAsia="zh-CN"/>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72" w:lineRule="exact"/>
        <w:rPr>
          <w:rFonts w:ascii="宋体" w:hAnsi="宋体" w:eastAsia="宋体" w:cs="宋体"/>
          <w:spacing w:val="-1"/>
          <w:sz w:val="24"/>
          <w:szCs w:val="24"/>
          <w:highlight w:val="none"/>
        </w:rPr>
      </w:pPr>
    </w:p>
    <w:tbl>
      <w:tblPr>
        <w:tblStyle w:val="140"/>
        <w:tblW w:w="13833" w:type="dxa"/>
        <w:jc w:val="center"/>
        <w:tblLayout w:type="fixed"/>
        <w:tblCellMar>
          <w:top w:w="0" w:type="dxa"/>
          <w:left w:w="2" w:type="dxa"/>
          <w:bottom w:w="0" w:type="dxa"/>
          <w:right w:w="2" w:type="dxa"/>
        </w:tblCellMar>
      </w:tblPr>
      <w:tblGrid>
        <w:gridCol w:w="804"/>
        <w:gridCol w:w="2248"/>
        <w:gridCol w:w="2100"/>
        <w:gridCol w:w="839"/>
        <w:gridCol w:w="2239"/>
        <w:gridCol w:w="1498"/>
        <w:gridCol w:w="1861"/>
        <w:gridCol w:w="1121"/>
        <w:gridCol w:w="1123"/>
      </w:tblGrid>
      <w:tr>
        <w:tblPrEx>
          <w:tblCellMar>
            <w:top w:w="0" w:type="dxa"/>
            <w:left w:w="2" w:type="dxa"/>
            <w:bottom w:w="0" w:type="dxa"/>
            <w:right w:w="2" w:type="dxa"/>
          </w:tblCellMar>
        </w:tblPrEx>
        <w:trPr>
          <w:trHeight w:val="336" w:hRule="atLeast"/>
          <w:jc w:val="center"/>
        </w:trPr>
        <w:tc>
          <w:tcPr>
            <w:tcW w:w="804" w:type="dxa"/>
            <w:tcBorders>
              <w:top w:val="single" w:color="000000" w:sz="2" w:space="0"/>
              <w:left w:val="single" w:color="000000" w:sz="2" w:space="0"/>
              <w:bottom w:val="single" w:color="000000" w:sz="2" w:space="0"/>
              <w:right w:val="single" w:color="000000" w:sz="2" w:space="0"/>
            </w:tcBorders>
          </w:tcPr>
          <w:p>
            <w:pPr>
              <w:widowControl w:val="0"/>
              <w:spacing w:before="100" w:after="0" w:line="184" w:lineRule="auto"/>
              <w:ind w:left="223"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48" w:type="dxa"/>
            <w:tcBorders>
              <w:top w:val="single" w:color="000000" w:sz="2" w:space="0"/>
              <w:left w:val="single" w:color="000000" w:sz="2" w:space="0"/>
              <w:bottom w:val="single" w:color="000000" w:sz="2" w:space="0"/>
              <w:right w:val="single" w:color="000000" w:sz="2" w:space="0"/>
            </w:tcBorders>
          </w:tcPr>
          <w:p>
            <w:pPr>
              <w:widowControl w:val="0"/>
              <w:spacing w:before="101" w:after="0" w:line="184" w:lineRule="auto"/>
              <w:ind w:left="122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100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39" w:type="dxa"/>
            <w:tcBorders>
              <w:top w:val="single" w:color="000000" w:sz="2" w:space="0"/>
              <w:left w:val="single" w:color="000000" w:sz="2" w:space="0"/>
              <w:bottom w:val="single" w:color="000000" w:sz="2" w:space="0"/>
              <w:right w:val="single" w:color="000000" w:sz="2" w:space="0"/>
            </w:tcBorders>
          </w:tcPr>
          <w:p>
            <w:pPr>
              <w:widowControl w:val="0"/>
              <w:spacing w:before="101" w:after="0" w:line="184" w:lineRule="auto"/>
              <w:ind w:left="371"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Borders>
              <w:top w:val="single" w:color="000000" w:sz="2" w:space="0"/>
              <w:left w:val="single" w:color="000000" w:sz="2" w:space="0"/>
              <w:bottom w:val="single" w:color="000000" w:sz="2" w:space="0"/>
              <w:right w:val="single" w:color="000000" w:sz="2" w:space="0"/>
            </w:tcBorders>
          </w:tcPr>
          <w:p>
            <w:pPr>
              <w:widowControl w:val="0"/>
              <w:spacing w:before="103" w:after="0" w:line="180" w:lineRule="auto"/>
              <w:ind w:left="107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8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Borders>
              <w:top w:val="single" w:color="000000" w:sz="2" w:space="0"/>
              <w:left w:val="single" w:color="000000" w:sz="2" w:space="0"/>
              <w:bottom w:val="single" w:color="000000" w:sz="2" w:space="0"/>
              <w:right w:val="single" w:color="000000" w:sz="2" w:space="0"/>
            </w:tcBorders>
          </w:tcPr>
          <w:p>
            <w:pPr>
              <w:widowControl w:val="0"/>
              <w:spacing w:before="103" w:after="0" w:line="180" w:lineRule="auto"/>
              <w:ind w:left="1010"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1"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16"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3" w:type="dxa"/>
            <w:tcBorders>
              <w:top w:val="single" w:color="000000" w:sz="2" w:space="0"/>
              <w:left w:val="single" w:color="000000" w:sz="2" w:space="0"/>
              <w:bottom w:val="single" w:color="000000" w:sz="2" w:space="0"/>
              <w:right w:val="single" w:color="000000" w:sz="2" w:space="0"/>
            </w:tcBorders>
          </w:tcPr>
          <w:p>
            <w:pPr>
              <w:widowControl w:val="0"/>
              <w:spacing w:before="102" w:after="0" w:line="182" w:lineRule="auto"/>
              <w:ind w:left="515" w:firstLine="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tblPrEx>
          <w:tblCellMar>
            <w:top w:w="0" w:type="dxa"/>
            <w:left w:w="2" w:type="dxa"/>
            <w:bottom w:w="0" w:type="dxa"/>
            <w:right w:w="2" w:type="dxa"/>
          </w:tblCellMar>
        </w:tblPrEx>
        <w:trPr>
          <w:trHeight w:val="719"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keepNext w:val="0"/>
              <w:keepLines w:val="0"/>
              <w:pageBreakBefore w:val="0"/>
              <w:widowControl w:val="0"/>
              <w:kinsoku/>
              <w:wordWrap/>
              <w:overflowPunct w:val="0"/>
              <w:topLinePunct w:val="0"/>
              <w:autoSpaceDE/>
              <w:autoSpaceDN/>
              <w:bidi w:val="0"/>
              <w:adjustRightInd/>
              <w:snapToGrid/>
              <w:spacing w:before="0" w:after="0" w:line="221" w:lineRule="auto"/>
              <w:jc w:val="center"/>
              <w:textAlignment w:val="auto"/>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4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备件或工具名称</w:t>
            </w: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制造商名称</w:t>
            </w: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总价[4×6]（不含税）(元)</w:t>
            </w: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1</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2</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3</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4</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18" w:hRule="atLeast"/>
          <w:jc w:val="center"/>
        </w:trPr>
        <w:tc>
          <w:tcPr>
            <w:tcW w:w="804"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宋体" w:hAnsi="宋体" w:eastAsia="宋体" w:cs="宋体"/>
                <w:szCs w:val="21"/>
                <w:highlight w:val="none"/>
              </w:rPr>
            </w:pPr>
            <w:r>
              <w:rPr>
                <w:rFonts w:ascii="宋体" w:hAnsi="宋体" w:eastAsia="宋体" w:cs="宋体"/>
                <w:szCs w:val="21"/>
                <w:highlight w:val="none"/>
              </w:rPr>
              <w:t>5</w:t>
            </w:r>
          </w:p>
        </w:tc>
        <w:tc>
          <w:tcPr>
            <w:tcW w:w="2248" w:type="dxa"/>
            <w:tcBorders>
              <w:top w:val="single" w:color="000000" w:sz="2" w:space="0"/>
              <w:left w:val="single" w:color="000000" w:sz="2" w:space="0"/>
              <w:bottom w:val="single" w:color="000000" w:sz="2" w:space="0"/>
              <w:right w:val="single" w:color="000000" w:sz="2" w:space="0"/>
            </w:tcBorders>
            <w:vAlign w:val="center"/>
          </w:tcPr>
          <w:p>
            <w:pPr>
              <w:pStyle w:val="134"/>
              <w:widowControl w:val="0"/>
              <w:spacing w:before="60" w:after="60"/>
              <w:jc w:val="center"/>
              <w:rPr>
                <w:rFonts w:ascii="Arial" w:hAnsi="Arial"/>
                <w:highlight w:val="none"/>
              </w:rPr>
            </w:pPr>
          </w:p>
        </w:tc>
        <w:tc>
          <w:tcPr>
            <w:tcW w:w="2100"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jc w:val="center"/>
              <w:rPr>
                <w:rFonts w:ascii="Arial" w:hAnsi="Arial"/>
                <w:highlight w:val="none"/>
              </w:rPr>
            </w:pPr>
          </w:p>
        </w:tc>
        <w:tc>
          <w:tcPr>
            <w:tcW w:w="8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line="360" w:lineRule="auto"/>
              <w:jc w:val="center"/>
              <w:textAlignment w:val="center"/>
              <w:rPr>
                <w:rFonts w:ascii="Arial" w:hAnsi="Arial"/>
                <w:highlight w:val="none"/>
              </w:rPr>
            </w:pPr>
          </w:p>
        </w:tc>
        <w:tc>
          <w:tcPr>
            <w:tcW w:w="2239"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498"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86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1"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c>
          <w:tcPr>
            <w:tcW w:w="1123" w:type="dxa"/>
            <w:tcBorders>
              <w:top w:val="single" w:color="000000" w:sz="2" w:space="0"/>
              <w:left w:val="single" w:color="000000" w:sz="2" w:space="0"/>
              <w:bottom w:val="single" w:color="000000" w:sz="2" w:space="0"/>
              <w:right w:val="single" w:color="000000" w:sz="2" w:space="0"/>
            </w:tcBorders>
            <w:vAlign w:val="center"/>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623" w:hRule="atLeast"/>
          <w:jc w:val="center"/>
        </w:trPr>
        <w:tc>
          <w:tcPr>
            <w:tcW w:w="9728" w:type="dxa"/>
            <w:gridSpan w:val="6"/>
            <w:tcBorders>
              <w:top w:val="single" w:color="000000" w:sz="2" w:space="0"/>
              <w:left w:val="single" w:color="000000" w:sz="2" w:space="0"/>
              <w:bottom w:val="single" w:color="000000" w:sz="2" w:space="0"/>
              <w:right w:val="single" w:color="000000" w:sz="2" w:space="0"/>
            </w:tcBorders>
          </w:tcPr>
          <w:p>
            <w:pPr>
              <w:widowControl w:val="0"/>
              <w:spacing w:before="207" w:after="0" w:line="218" w:lineRule="auto"/>
              <w:ind w:left="3416" w:firstLine="0"/>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价合计列入价格汇总表 9-5</w:t>
            </w:r>
          </w:p>
        </w:tc>
        <w:tc>
          <w:tcPr>
            <w:tcW w:w="4105" w:type="dxa"/>
            <w:gridSpan w:val="3"/>
            <w:tcBorders>
              <w:top w:val="single" w:color="000000" w:sz="2" w:space="0"/>
              <w:left w:val="single" w:color="000000" w:sz="2" w:space="0"/>
              <w:bottom w:val="single" w:color="000000" w:sz="2" w:space="0"/>
              <w:right w:val="single" w:color="000000" w:sz="2" w:space="0"/>
            </w:tcBorders>
          </w:tcPr>
          <w:p>
            <w:pPr>
              <w:widowControl w:val="0"/>
              <w:spacing w:before="207" w:after="0" w:line="218" w:lineRule="auto"/>
              <w:jc w:val="left"/>
              <w:rPr>
                <w:rFonts w:ascii="宋体" w:hAnsi="宋体" w:eastAsia="宋体" w:cs="宋体"/>
                <w:szCs w:val="21"/>
                <w:highlight w:val="none"/>
              </w:rPr>
            </w:pPr>
            <w:r>
              <w:rPr>
                <w:rFonts w:ascii="宋体" w:hAnsi="宋体" w:eastAsia="宋体" w:cs="宋体"/>
                <w:b/>
                <w:bCs/>
                <w:szCs w:val="21"/>
                <w:highlight w:val="none"/>
              </w:rPr>
              <w:t>总价合计（不含税）￥    元</w:t>
            </w:r>
          </w:p>
        </w:tc>
      </w:tr>
    </w:tbl>
    <w:p>
      <w:pPr>
        <w:spacing w:before="69" w:after="0" w:line="218"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pPr>
        <w:spacing w:before="75" w:after="0" w:line="218" w:lineRule="auto"/>
        <w:ind w:left="409" w:firstLine="0"/>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pPr>
        <w:spacing w:before="87" w:after="0" w:line="196" w:lineRule="auto"/>
        <w:ind w:left="411" w:firstLine="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便招标人对投标档进行比较，不作为限制订立合同的条件</w:t>
      </w:r>
      <w:r>
        <w:rPr>
          <w:rFonts w:ascii="宋体" w:hAnsi="宋体" w:eastAsia="宋体" w:cs="宋体"/>
          <w:spacing w:val="-2"/>
          <w:sz w:val="24"/>
          <w:szCs w:val="24"/>
          <w:highlight w:val="none"/>
        </w:rPr>
        <w:t>。</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4.如上表中的有关费用投标人免费提供，请注明“免费”字样。</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5.该明细表所有信息均为必填项，不得删减，价格部分不得合并，可细化可增加。</w:t>
      </w:r>
    </w:p>
    <w:p>
      <w:pPr>
        <w:spacing w:before="78" w:after="0" w:line="218" w:lineRule="auto"/>
        <w:ind w:firstLine="396"/>
        <w:rPr>
          <w:rFonts w:ascii="宋体" w:hAnsi="宋体" w:eastAsia="宋体" w:cs="宋体"/>
          <w:spacing w:val="-6"/>
          <w:szCs w:val="21"/>
          <w:highlight w:val="none"/>
        </w:rPr>
      </w:pPr>
      <w:r>
        <w:rPr>
          <w:rFonts w:ascii="宋体" w:hAnsi="宋体" w:eastAsia="宋体" w:cs="宋体"/>
          <w:spacing w:val="-6"/>
          <w:szCs w:val="21"/>
          <w:highlight w:val="none"/>
        </w:rPr>
        <w:t>6.因填写不规范造成废标及终止招标的，责任由投标人自负。</w:t>
      </w:r>
    </w:p>
    <w:p>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140" w:after="0" w:line="218" w:lineRule="auto"/>
        <w:ind w:left="215" w:firstLine="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pPr>
        <w:spacing w:before="87" w:after="0" w:line="196" w:lineRule="auto"/>
        <w:ind w:left="411" w:firstLine="0"/>
        <w:rPr>
          <w:rFonts w:ascii="宋体" w:hAnsi="宋体" w:eastAsia="宋体" w:cs="宋体"/>
          <w:spacing w:val="-2"/>
          <w:sz w:val="24"/>
          <w:szCs w:val="24"/>
          <w:highlight w:val="none"/>
        </w:rPr>
        <w:sectPr>
          <w:headerReference r:id="rId50" w:type="default"/>
          <w:footerReference r:id="rId51" w:type="default"/>
          <w:pgSz w:w="16838" w:h="11906"/>
          <w:pgMar w:top="400" w:right="1500" w:bottom="1184" w:left="1480" w:header="0" w:footer="1022"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pPr>
        <w:spacing w:before="253" w:after="0" w:line="223" w:lineRule="auto"/>
        <w:ind w:left="6488" w:firstLine="0"/>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pPr>
        <w:spacing w:before="24" w:after="0" w:line="220" w:lineRule="auto"/>
        <w:ind w:firstLine="624"/>
        <w:jc w:val="left"/>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pPr>
        <w:spacing w:line="127" w:lineRule="exact"/>
        <w:rPr>
          <w:rFonts w:ascii="宋体" w:hAnsi="宋体" w:eastAsia="宋体" w:cs="宋体"/>
          <w:spacing w:val="-2"/>
          <w:sz w:val="24"/>
          <w:szCs w:val="24"/>
          <w:highlight w:val="none"/>
        </w:rPr>
      </w:pPr>
    </w:p>
    <w:tbl>
      <w:tblPr>
        <w:tblStyle w:val="140"/>
        <w:tblW w:w="13561" w:type="dxa"/>
        <w:tblInd w:w="498" w:type="dxa"/>
        <w:tblLayout w:type="fixed"/>
        <w:tblCellMar>
          <w:top w:w="0" w:type="dxa"/>
          <w:left w:w="2" w:type="dxa"/>
          <w:bottom w:w="0" w:type="dxa"/>
          <w:right w:w="2" w:type="dxa"/>
        </w:tblCellMar>
      </w:tblPr>
      <w:tblGrid>
        <w:gridCol w:w="1079"/>
        <w:gridCol w:w="5766"/>
        <w:gridCol w:w="3354"/>
        <w:gridCol w:w="3361"/>
      </w:tblGrid>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334" w:firstLine="0"/>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2544" w:firstLine="0"/>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276" w:after="0" w:line="218"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276" w:after="0" w:line="220" w:lineRule="auto"/>
              <w:ind w:left="1215" w:firstLine="0"/>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tblPrEx>
          <w:tblCellMar>
            <w:top w:w="0" w:type="dxa"/>
            <w:left w:w="2" w:type="dxa"/>
            <w:bottom w:w="0" w:type="dxa"/>
            <w:right w:w="2" w:type="dxa"/>
          </w:tblCellMar>
        </w:tblPrEx>
        <w:trPr>
          <w:trHeight w:val="765"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309" w:after="0" w:line="184" w:lineRule="auto"/>
              <w:ind w:left="508" w:firstLine="0"/>
              <w:rPr>
                <w:rFonts w:ascii="宋体" w:hAnsi="宋体" w:eastAsia="宋体" w:cs="宋体"/>
                <w:szCs w:val="21"/>
                <w:highlight w:val="none"/>
              </w:rPr>
            </w:pPr>
            <w:r>
              <w:rPr>
                <w:rFonts w:ascii="宋体" w:hAnsi="宋体" w:eastAsia="宋体" w:cs="宋体"/>
                <w:szCs w:val="21"/>
                <w:highlight w:val="none"/>
              </w:rPr>
              <w:t>1</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5" w:after="0" w:line="220" w:lineRule="auto"/>
              <w:ind w:left="2378" w:firstLine="0"/>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ascii="Times New Roman" w:hAnsi="Times New Roman" w:eastAsia="宋体" w:cs="Times New Roman"/>
                <w:spacing w:val="-11"/>
                <w:szCs w:val="21"/>
                <w:highlight w:val="none"/>
              </w:rPr>
              <w:t xml:space="preserve">9- 1 </w:t>
            </w:r>
            <w:r>
              <w:rPr>
                <w:rFonts w:ascii="宋体" w:hAnsi="宋体" w:eastAsia="宋体" w:cs="宋体"/>
                <w:spacing w:val="-11"/>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43"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299" w:after="0" w:line="184" w:lineRule="auto"/>
              <w:ind w:left="495" w:firstLine="0"/>
              <w:rPr>
                <w:rFonts w:ascii="宋体" w:hAnsi="宋体" w:eastAsia="宋体" w:cs="宋体"/>
                <w:szCs w:val="21"/>
                <w:highlight w:val="none"/>
              </w:rPr>
            </w:pPr>
            <w:r>
              <w:rPr>
                <w:rFonts w:ascii="宋体" w:hAnsi="宋体" w:eastAsia="宋体" w:cs="宋体"/>
                <w:szCs w:val="21"/>
                <w:highlight w:val="none"/>
              </w:rPr>
              <w:t>2</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63"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9-2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62"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p>
            <w:pPr>
              <w:widowControl w:val="0"/>
              <w:spacing w:before="68" w:after="0" w:line="182" w:lineRule="auto"/>
              <w:ind w:left="497" w:firstLine="0"/>
              <w:rPr>
                <w:rFonts w:ascii="宋体" w:hAnsi="宋体" w:eastAsia="宋体" w:cs="宋体"/>
                <w:szCs w:val="21"/>
                <w:highlight w:val="none"/>
              </w:rPr>
            </w:pPr>
            <w:r>
              <w:rPr>
                <w:rFonts w:ascii="宋体" w:hAnsi="宋体" w:eastAsia="宋体" w:cs="宋体"/>
                <w:szCs w:val="21"/>
                <w:highlight w:val="none"/>
              </w:rPr>
              <w:t>3</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74"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9-3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41" w:hRule="atLeast"/>
        </w:trPr>
        <w:tc>
          <w:tcPr>
            <w:tcW w:w="1079" w:type="dxa"/>
            <w:tcBorders>
              <w:top w:val="single" w:color="000000" w:sz="2" w:space="0"/>
              <w:left w:val="single" w:color="000000" w:sz="2" w:space="0"/>
              <w:bottom w:val="single" w:color="000000" w:sz="2" w:space="0"/>
              <w:right w:val="single" w:color="000000" w:sz="2" w:space="0"/>
            </w:tcBorders>
          </w:tcPr>
          <w:p>
            <w:pPr>
              <w:widowControl w:val="0"/>
              <w:spacing w:before="300" w:after="0" w:line="184" w:lineRule="auto"/>
              <w:ind w:left="492" w:firstLine="0"/>
              <w:rPr>
                <w:rFonts w:ascii="宋体" w:hAnsi="宋体" w:eastAsia="宋体" w:cs="宋体"/>
                <w:szCs w:val="21"/>
                <w:highlight w:val="none"/>
              </w:rPr>
            </w:pPr>
            <w:r>
              <w:rPr>
                <w:rFonts w:ascii="宋体" w:hAnsi="宋体" w:eastAsia="宋体" w:cs="宋体"/>
                <w:szCs w:val="21"/>
                <w:highlight w:val="none"/>
              </w:rPr>
              <w:t>4</w:t>
            </w:r>
          </w:p>
        </w:tc>
        <w:tc>
          <w:tcPr>
            <w:tcW w:w="5766" w:type="dxa"/>
            <w:tcBorders>
              <w:top w:val="single" w:color="000000" w:sz="2" w:space="0"/>
              <w:left w:val="single" w:color="000000" w:sz="2" w:space="0"/>
              <w:bottom w:val="single" w:color="000000" w:sz="2" w:space="0"/>
              <w:right w:val="single" w:color="000000" w:sz="2" w:space="0"/>
            </w:tcBorders>
          </w:tcPr>
          <w:p>
            <w:pPr>
              <w:widowControl w:val="0"/>
              <w:spacing w:before="265" w:after="0" w:line="220" w:lineRule="auto"/>
              <w:ind w:left="2378" w:firstLine="0"/>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ascii="Times New Roman" w:hAnsi="Times New Roman" w:eastAsia="宋体" w:cs="Times New Roman"/>
                <w:spacing w:val="-6"/>
                <w:szCs w:val="21"/>
                <w:highlight w:val="none"/>
              </w:rPr>
              <w:t xml:space="preserve">9-4 </w:t>
            </w:r>
            <w:r>
              <w:rPr>
                <w:rFonts w:ascii="宋体" w:hAnsi="宋体" w:eastAsia="宋体" w:cs="宋体"/>
                <w:spacing w:val="-6"/>
                <w:szCs w:val="21"/>
                <w:highlight w:val="none"/>
              </w:rPr>
              <w:t>总计</w:t>
            </w:r>
          </w:p>
        </w:tc>
        <w:tc>
          <w:tcPr>
            <w:tcW w:w="3354"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c>
          <w:tcPr>
            <w:tcW w:w="3361" w:type="dxa"/>
            <w:tcBorders>
              <w:top w:val="single" w:color="000000" w:sz="2" w:space="0"/>
              <w:left w:val="single" w:color="000000" w:sz="2" w:space="0"/>
              <w:bottom w:val="single" w:color="000000" w:sz="2" w:space="0"/>
              <w:right w:val="single" w:color="000000" w:sz="2" w:space="0"/>
            </w:tcBorders>
          </w:tcPr>
          <w:p>
            <w:pPr>
              <w:widowControl w:val="0"/>
              <w:spacing w:before="0" w:after="0"/>
              <w:rPr>
                <w:rFonts w:ascii="Arial" w:hAnsi="Arial"/>
                <w:highlight w:val="none"/>
              </w:rPr>
            </w:pP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tblPrEx>
          <w:tblCellMar>
            <w:top w:w="0" w:type="dxa"/>
            <w:left w:w="2" w:type="dxa"/>
            <w:bottom w:w="0" w:type="dxa"/>
            <w:right w:w="2" w:type="dxa"/>
          </w:tblCellMar>
        </w:tblPrEx>
        <w:trPr>
          <w:trHeight w:val="760" w:hRule="atLeast"/>
        </w:trPr>
        <w:tc>
          <w:tcPr>
            <w:tcW w:w="6845" w:type="dxa"/>
            <w:gridSpan w:val="2"/>
            <w:tcBorders>
              <w:top w:val="single" w:color="000000" w:sz="2" w:space="0"/>
              <w:left w:val="single" w:color="000000" w:sz="2" w:space="0"/>
              <w:bottom w:val="single" w:color="000000" w:sz="2" w:space="0"/>
              <w:right w:val="single" w:color="000000" w:sz="2" w:space="0"/>
            </w:tcBorders>
          </w:tcPr>
          <w:p>
            <w:pPr>
              <w:widowControl w:val="0"/>
              <w:spacing w:before="266" w:after="0" w:line="220"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000000" w:sz="2" w:space="0"/>
              <w:bottom w:val="single" w:color="000000" w:sz="2" w:space="0"/>
            </w:tcBorders>
          </w:tcPr>
          <w:p>
            <w:pPr>
              <w:widowControl w:val="0"/>
              <w:spacing w:before="266" w:after="0" w:line="220"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1" w:type="dxa"/>
            <w:tcBorders>
              <w:top w:val="single" w:color="000000" w:sz="2" w:space="0"/>
              <w:bottom w:val="single" w:color="000000" w:sz="2" w:space="0"/>
            </w:tcBorders>
          </w:tcPr>
          <w:p>
            <w:pPr>
              <w:widowControl w:val="0"/>
              <w:spacing w:before="266" w:after="0" w:line="220" w:lineRule="auto"/>
              <w:ind w:firstLine="416"/>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 （税率：</w:t>
            </w:r>
            <w:r>
              <w:rPr>
                <w:rFonts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pPr>
        <w:spacing w:line="290" w:lineRule="auto"/>
        <w:rPr>
          <w:rFonts w:ascii="Arial" w:hAnsi="Arial"/>
          <w:highlight w:val="none"/>
        </w:rPr>
      </w:pPr>
    </w:p>
    <w:p>
      <w:pPr>
        <w:spacing w:before="78" w:after="0" w:line="196" w:lineRule="auto"/>
        <w:ind w:left="211" w:firstLine="202"/>
        <w:rPr>
          <w:rFonts w:ascii="宋体" w:hAnsi="宋体" w:eastAsia="宋体" w:cs="宋体"/>
          <w:sz w:val="24"/>
          <w:szCs w:val="24"/>
          <w:highlight w:val="none"/>
        </w:rPr>
      </w:pPr>
      <w:r>
        <w:rPr>
          <w:rFonts w:ascii="宋体" w:hAnsi="宋体" w:eastAsia="宋体" w:cs="宋体"/>
          <w:spacing w:val="-4"/>
          <w:szCs w:val="21"/>
          <w:highlight w:val="none"/>
        </w:rPr>
        <w:t>注：  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2.该明细表所有信息均为必填项，不得删减，价格部分不得合并，可细化可增加。</w:t>
      </w:r>
    </w:p>
    <w:p>
      <w:pPr>
        <w:spacing w:before="78" w:after="0" w:line="218" w:lineRule="auto"/>
        <w:ind w:firstLine="990"/>
        <w:rPr>
          <w:rFonts w:ascii="宋体" w:hAnsi="宋体" w:eastAsia="宋体" w:cs="宋体"/>
          <w:spacing w:val="-6"/>
          <w:szCs w:val="21"/>
          <w:highlight w:val="none"/>
        </w:rPr>
      </w:pPr>
      <w:r>
        <w:rPr>
          <w:rFonts w:ascii="宋体" w:hAnsi="宋体" w:eastAsia="宋体" w:cs="宋体"/>
          <w:spacing w:val="-6"/>
          <w:szCs w:val="21"/>
          <w:highlight w:val="none"/>
        </w:rPr>
        <w:t>3.因填写不规范造成废标及终止招标的，责任由投标人自负。</w:t>
      </w:r>
    </w:p>
    <w:p>
      <w:pPr>
        <w:pStyle w:val="2"/>
        <w:rPr>
          <w:rFonts w:ascii="宋体" w:hAnsi="宋体" w:eastAsia="宋体" w:cs="宋体"/>
          <w:spacing w:val="-2"/>
          <w:sz w:val="24"/>
          <w:szCs w:val="24"/>
          <w:highlight w:val="none"/>
        </w:rPr>
      </w:pPr>
    </w:p>
    <w:p>
      <w:pPr>
        <w:pStyle w:val="2"/>
        <w:rPr>
          <w:rFonts w:ascii="宋体" w:hAnsi="宋体" w:eastAsia="宋体" w:cs="宋体"/>
          <w:spacing w:val="-2"/>
          <w:sz w:val="24"/>
          <w:szCs w:val="24"/>
          <w:highlight w:val="none"/>
        </w:rPr>
      </w:pPr>
    </w:p>
    <w:p>
      <w:pPr>
        <w:spacing w:before="140" w:after="0" w:line="218" w:lineRule="auto"/>
        <w:ind w:left="2" w:firstLine="464"/>
        <w:rPr>
          <w:rFonts w:ascii="宋体" w:hAnsi="宋体" w:eastAsia="宋体" w:cs="宋体"/>
          <w:spacing w:val="-2"/>
          <w:szCs w:val="21"/>
          <w:highlight w:val="none"/>
        </w:rPr>
        <w:sectPr>
          <w:headerReference r:id="rId52" w:type="default"/>
          <w:footerReference r:id="rId53" w:type="default"/>
          <w:pgSz w:w="16838" w:h="11906"/>
          <w:pgMar w:top="400" w:right="1699" w:bottom="1168" w:left="1481" w:header="0" w:footer="990" w:gutter="0"/>
          <w:pgNumType w:fmt="decimal"/>
          <w:cols w:space="720" w:num="1"/>
          <w:formProt w:val="0"/>
          <w:docGrid w:linePitch="100" w:charSpace="0"/>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pPr>
        <w:keepNext/>
        <w:keepLines/>
        <w:numPr>
          <w:ilvl w:val="0"/>
          <w:numId w:val="0"/>
        </w:numPr>
        <w:tabs>
          <w:tab w:val="left" w:pos="3516"/>
        </w:tabs>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附件10 商务条款偏离表</w:t>
      </w:r>
    </w:p>
    <w:p>
      <w:pPr>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ab/>
      </w:r>
    </w:p>
    <w:p>
      <w:pPr>
        <w:pStyle w:val="2"/>
        <w:rPr>
          <w:rFonts w:eastAsia="宋体"/>
          <w:highlight w:val="none"/>
          <w:lang w:eastAsia="zh-CN"/>
        </w:rPr>
      </w:pPr>
      <w:r>
        <w:rPr>
          <w:rFonts w:eastAsia="宋体" w:cs="宋体"/>
          <w:spacing w:val="-10"/>
          <w:sz w:val="24"/>
          <w:szCs w:val="24"/>
          <w:highlight w:val="none"/>
        </w:rPr>
        <w:t>项</w:t>
      </w:r>
      <w:r>
        <w:rPr>
          <w:rFonts w:eastAsia="宋体" w:cs="宋体"/>
          <w:spacing w:val="-9"/>
          <w:sz w:val="24"/>
          <w:szCs w:val="24"/>
          <w:highlight w:val="none"/>
        </w:rPr>
        <w:t>目</w:t>
      </w:r>
      <w:r>
        <w:rPr>
          <w:rFonts w:eastAsia="宋体" w:cs="宋体"/>
          <w:spacing w:val="-5"/>
          <w:sz w:val="24"/>
          <w:szCs w:val="24"/>
          <w:highlight w:val="none"/>
        </w:rPr>
        <w:t>名称：</w:t>
      </w:r>
      <w:r>
        <w:rPr>
          <w:rFonts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曲轴磨床增加共振点补偿功能项目</w:t>
      </w:r>
    </w:p>
    <w:p>
      <w:pPr>
        <w:rPr>
          <w:rFonts w:ascii="Calibri" w:hAnsi="Calibri" w:eastAsia="宋体" w:cs="Times New Roman"/>
          <w:szCs w:val="20"/>
          <w:highlight w:val="none"/>
        </w:rPr>
      </w:pPr>
    </w:p>
    <w:tbl>
      <w:tblPr>
        <w:tblStyle w:val="40"/>
        <w:tblW w:w="9056" w:type="dxa"/>
        <w:tblInd w:w="0" w:type="dxa"/>
        <w:tblLayout w:type="fixed"/>
        <w:tblCellMar>
          <w:top w:w="0" w:type="dxa"/>
          <w:left w:w="108" w:type="dxa"/>
          <w:bottom w:w="0" w:type="dxa"/>
          <w:right w:w="108" w:type="dxa"/>
        </w:tblCellMar>
      </w:tblPr>
      <w:tblGrid>
        <w:gridCol w:w="1650"/>
        <w:gridCol w:w="2877"/>
        <w:gridCol w:w="2884"/>
        <w:gridCol w:w="1644"/>
      </w:tblGrid>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项目</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招标档要求</w:t>
            </w: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回应规格</w:t>
            </w: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是否偏离</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（提供说明）</w:t>
            </w: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质保期</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交货时间及地点</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付款条件</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售后技术服务要求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1"/>
                <w:highlight w:val="none"/>
              </w:rPr>
            </w:pPr>
          </w:p>
          <w:p>
            <w:pPr>
              <w:widowControl w:val="0"/>
              <w:spacing w:before="0" w:after="0"/>
              <w:jc w:val="center"/>
              <w:rPr>
                <w:rFonts w:ascii="Times New Roman" w:hAnsi="Times New Roman" w:eastAsia="宋体" w:cs="Times New Roman"/>
                <w:b/>
                <w:szCs w:val="20"/>
                <w:highlight w:val="none"/>
              </w:rPr>
            </w:pPr>
          </w:p>
        </w:tc>
      </w:tr>
      <w:tr>
        <w:tblPrEx>
          <w:tblCellMar>
            <w:top w:w="0" w:type="dxa"/>
            <w:left w:w="108" w:type="dxa"/>
            <w:bottom w:w="0" w:type="dxa"/>
            <w:right w:w="108" w:type="dxa"/>
          </w:tblCellMar>
        </w:tblPrEx>
        <w:trPr>
          <w:trHeight w:val="567" w:hRule="atLeast"/>
        </w:trPr>
        <w:tc>
          <w:tcPr>
            <w:tcW w:w="1650"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备品备件及耗材等要求</w:t>
            </w:r>
          </w:p>
        </w:tc>
        <w:tc>
          <w:tcPr>
            <w:tcW w:w="287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c>
          <w:tcPr>
            <w:tcW w:w="1644"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jc w:val="center"/>
              <w:rPr>
                <w:rFonts w:ascii="Times New Roman" w:hAnsi="Times New Roman" w:eastAsia="宋体" w:cs="Times New Roman"/>
                <w:b/>
                <w:szCs w:val="20"/>
                <w:highlight w:val="none"/>
              </w:rPr>
            </w:pP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注：为避免歧义，无偏离也应要提报该表，并注明“无”字。如无该表则即使在其他部分已反映，将也被视为“无偏离”。</w:t>
      </w:r>
    </w:p>
    <w:p>
      <w:pPr>
        <w:rPr>
          <w:rFonts w:ascii="宋体" w:hAnsi="宋体" w:eastAsia="宋体" w:cs="Times New Roman"/>
          <w:szCs w:val="20"/>
          <w:highlight w:val="none"/>
        </w:rPr>
        <w:sectPr>
          <w:headerReference r:id="rId54" w:type="default"/>
          <w:footerReference r:id="rId55" w:type="default"/>
          <w:pgSz w:w="11906" w:h="16838"/>
          <w:pgMar w:top="1588" w:right="1418" w:bottom="1134" w:left="1418" w:header="0" w:footer="0" w:gutter="0"/>
          <w:pgNumType w:fmt="decimal"/>
          <w:cols w:space="720" w:num="1"/>
          <w:formProt w:val="0"/>
          <w:docGrid w:type="lines" w:linePitch="312" w:charSpace="0"/>
        </w:sectPr>
      </w:pPr>
    </w:p>
    <w:p>
      <w:pPr>
        <w:numPr>
          <w:ilvl w:val="0"/>
          <w:numId w:val="0"/>
        </w:numPr>
        <w:spacing w:before="110" w:after="0" w:line="225" w:lineRule="auto"/>
        <w:ind w:left="29" w:firstLine="0"/>
        <w:outlineLvl w:val="2"/>
        <w:rPr>
          <w:rFonts w:ascii="宋体" w:hAnsi="宋体" w:eastAsia="宋体" w:cs="宋体"/>
          <w:sz w:val="24"/>
          <w:szCs w:val="24"/>
          <w:highlight w:val="none"/>
        </w:rPr>
      </w:pPr>
      <w:r>
        <w:rPr>
          <w:rFonts w:ascii="Times New Roman" w:hAnsi="Times New Roman" w:eastAsia="宋体" w:cs="Times New Roman"/>
          <w:b/>
          <w:bCs/>
          <w:color w:val="000000"/>
          <w:sz w:val="24"/>
          <w:szCs w:val="24"/>
          <w:highlight w:val="none"/>
        </w:rPr>
        <w:t>附件11 投标人承诺</w:t>
      </w:r>
    </w:p>
    <w:p>
      <w:pPr>
        <w:spacing w:line="271" w:lineRule="auto"/>
        <w:rPr>
          <w:rFonts w:ascii="Arial" w:hAnsi="Arial"/>
          <w:highlight w:val="none"/>
        </w:rPr>
      </w:pPr>
    </w:p>
    <w:p>
      <w:pPr>
        <w:spacing w:before="75" w:after="0" w:line="228" w:lineRule="auto"/>
        <w:ind w:left="134" w:firstLine="0"/>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ascii="宋体" w:hAnsi="宋体" w:eastAsia="宋体" w:cs="宋体"/>
          <w:spacing w:val="-5"/>
          <w:sz w:val="24"/>
          <w:szCs w:val="24"/>
          <w:highlight w:val="none"/>
          <w:u w:val="single"/>
        </w:rPr>
        <w:t xml:space="preserve"> </w:t>
      </w:r>
      <w:r>
        <w:rPr>
          <w:rFonts w:hint="eastAsia" w:eastAsia="宋体" w:cs="Times New Roman"/>
          <w:color w:val="000000"/>
          <w:sz w:val="24"/>
          <w:szCs w:val="24"/>
          <w:highlight w:val="none"/>
          <w:u w:val="single"/>
          <w:lang w:eastAsia="zh-CN"/>
        </w:rPr>
        <w:t>曲轴磨床增加共振点补偿功能项目</w:t>
      </w:r>
      <w:r>
        <w:rPr>
          <w:rFonts w:ascii="宋体" w:hAnsi="宋体" w:eastAsia="宋体" w:cs="宋体"/>
          <w:spacing w:val="-5"/>
          <w:sz w:val="24"/>
          <w:szCs w:val="24"/>
          <w:highlight w:val="none"/>
          <w:u w:val="single"/>
        </w:rPr>
        <w:t xml:space="preserve"> </w:t>
      </w:r>
    </w:p>
    <w:p>
      <w:pPr>
        <w:spacing w:before="306" w:after="0" w:line="225" w:lineRule="auto"/>
        <w:ind w:left="205" w:firstLine="0"/>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pPr>
        <w:rPr>
          <w:rFonts w:ascii="宋体" w:hAnsi="宋体" w:eastAsia="宋体" w:cs="宋体"/>
          <w:b/>
          <w:bCs/>
          <w:color w:val="000000"/>
          <w:sz w:val="28"/>
          <w:szCs w:val="20"/>
          <w:highlight w:val="none"/>
        </w:rPr>
      </w:pPr>
    </w:p>
    <w:p>
      <w:pPr>
        <w:spacing w:line="109" w:lineRule="exact"/>
        <w:rPr>
          <w:rFonts w:ascii="宋体" w:hAnsi="宋体" w:eastAsia="宋体" w:cs="宋体"/>
          <w:b/>
          <w:bCs/>
          <w:color w:val="000000"/>
          <w:sz w:val="28"/>
          <w:szCs w:val="20"/>
          <w:highlight w:val="none"/>
        </w:rPr>
      </w:pPr>
    </w:p>
    <w:tbl>
      <w:tblPr>
        <w:tblStyle w:val="140"/>
        <w:tblW w:w="9289" w:type="dxa"/>
        <w:tblInd w:w="3" w:type="dxa"/>
        <w:tblLayout w:type="fixed"/>
        <w:tblCellMar>
          <w:top w:w="0" w:type="dxa"/>
          <w:left w:w="2" w:type="dxa"/>
          <w:bottom w:w="0" w:type="dxa"/>
          <w:right w:w="2" w:type="dxa"/>
        </w:tblCellMar>
      </w:tblPr>
      <w:tblGrid>
        <w:gridCol w:w="9289"/>
      </w:tblGrid>
      <w:tr>
        <w:tblPrEx>
          <w:tblCellMar>
            <w:top w:w="0" w:type="dxa"/>
            <w:left w:w="2" w:type="dxa"/>
            <w:bottom w:w="0" w:type="dxa"/>
            <w:right w:w="2" w:type="dxa"/>
          </w:tblCellMar>
        </w:tblPrEx>
        <w:trPr>
          <w:trHeight w:val="4186" w:hRule="atLeast"/>
        </w:trPr>
        <w:tc>
          <w:tcPr>
            <w:tcW w:w="9289" w:type="dxa"/>
            <w:tcBorders>
              <w:top w:val="single" w:color="000000" w:sz="2" w:space="0"/>
              <w:left w:val="single" w:color="000000" w:sz="2" w:space="0"/>
              <w:bottom w:val="single" w:color="000000" w:sz="2" w:space="0"/>
              <w:right w:val="single" w:color="000000" w:sz="2" w:space="0"/>
            </w:tcBorders>
          </w:tcPr>
          <w:p>
            <w:pPr>
              <w:widowControl w:val="0"/>
              <w:spacing w:before="52" w:after="0" w:line="225" w:lineRule="auto"/>
              <w:ind w:left="128" w:firstLine="0"/>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pPr>
              <w:widowControl w:val="0"/>
              <w:spacing w:before="48" w:after="0"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pPr>
        <w:keepNext/>
        <w:keepLines/>
        <w:rPr>
          <w:rFonts w:ascii="Times New Roman" w:hAnsi="Times New Roman" w:eastAsia="宋体" w:cs="Times New Roman"/>
          <w:b/>
          <w:bCs/>
          <w:color w:val="000000"/>
          <w:sz w:val="24"/>
          <w:szCs w:val="24"/>
          <w:highlight w:val="none"/>
        </w:rPr>
      </w:pPr>
    </w:p>
    <w:p>
      <w:pPr>
        <w:spacing w:before="75" w:after="0" w:line="225" w:lineRule="auto"/>
        <w:ind w:left="135" w:firstLine="0"/>
        <w:rPr>
          <w:rFonts w:ascii="宋体" w:hAnsi="宋体" w:eastAsia="宋体" w:cs="宋体"/>
          <w:spacing w:val="-2"/>
          <w:sz w:val="24"/>
          <w:szCs w:val="24"/>
          <w:highlight w:val="none"/>
        </w:rPr>
      </w:pPr>
    </w:p>
    <w:p>
      <w:pPr>
        <w:spacing w:before="75" w:after="0" w:line="225" w:lineRule="auto"/>
        <w:ind w:left="135" w:firstLine="0"/>
        <w:rPr>
          <w:rFonts w:ascii="宋体" w:hAnsi="宋体" w:eastAsia="宋体" w:cs="宋体"/>
          <w:spacing w:val="-2"/>
          <w:sz w:val="24"/>
          <w:szCs w:val="24"/>
          <w:highlight w:val="none"/>
        </w:rPr>
      </w:pPr>
    </w:p>
    <w:p>
      <w:pPr>
        <w:spacing w:before="75" w:after="0" w:line="225" w:lineRule="auto"/>
        <w:ind w:left="135" w:firstLine="0"/>
        <w:rPr>
          <w:rFonts w:eastAsia="宋体"/>
          <w:sz w:val="24"/>
          <w:szCs w:val="24"/>
          <w:highlight w:val="none"/>
        </w:rPr>
        <w:sectPr>
          <w:headerReference r:id="rId56" w:type="default"/>
          <w:footerReference r:id="rId57" w:type="default"/>
          <w:pgSz w:w="11906" w:h="16838"/>
          <w:pgMar w:top="1431" w:right="1417" w:bottom="1179" w:left="1304" w:header="850" w:footer="992" w:gutter="0"/>
          <w:pgNumType w:fmt="decimal"/>
          <w:cols w:space="720" w:num="1"/>
          <w:formProt w:val="0"/>
          <w:docGrid w:linePitch="100" w:charSpace="0"/>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p>
    <w:p>
      <w:pPr>
        <w:keepNext/>
        <w:keepLines/>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附件12 服务承诺函</w:t>
      </w:r>
    </w:p>
    <w:p>
      <w:pPr>
        <w:spacing w:line="240" w:lineRule="exact"/>
        <w:jc w:val="center"/>
        <w:rPr>
          <w:rFonts w:ascii="宋体" w:hAnsi="宋体" w:eastAsia="宋体" w:cs="Times New Roman"/>
          <w:b/>
          <w:bCs/>
          <w:sz w:val="36"/>
          <w:szCs w:val="20"/>
          <w:highlight w:val="none"/>
        </w:rPr>
      </w:pPr>
    </w:p>
    <w:p>
      <w:pPr>
        <w:spacing w:line="360" w:lineRule="auto"/>
        <w:rPr>
          <w:rFonts w:ascii="宋体" w:hAnsi="宋体" w:eastAsia="宋体" w:cs="Times New Roman"/>
          <w:sz w:val="24"/>
          <w:szCs w:val="20"/>
          <w:highlight w:val="none"/>
        </w:rPr>
      </w:pPr>
      <w:r>
        <w:rPr>
          <w:rFonts w:ascii="宋体" w:hAnsi="宋体" w:eastAsia="宋体" w:cs="Times New Roman"/>
          <w:sz w:val="24"/>
          <w:szCs w:val="20"/>
          <w:highlight w:val="none"/>
        </w:rPr>
        <w:t>项目名称：</w:t>
      </w:r>
      <w:r>
        <w:rPr>
          <w:rFonts w:hint="eastAsia" w:eastAsia="宋体" w:cs="Times New Roman"/>
          <w:color w:val="000000"/>
          <w:sz w:val="24"/>
          <w:szCs w:val="24"/>
          <w:highlight w:val="none"/>
          <w:u w:val="single"/>
          <w:lang w:eastAsia="zh-CN"/>
        </w:rPr>
        <w:t>曲轴磨床增加共振点补偿功能项目</w:t>
      </w:r>
      <w:r>
        <w:rPr>
          <w:rFonts w:ascii="宋体" w:hAnsi="宋体" w:eastAsia="宋体" w:cs="Times New Roman"/>
          <w:sz w:val="24"/>
          <w:szCs w:val="20"/>
          <w:highlight w:val="none"/>
          <w:u w:val="single"/>
        </w:rPr>
        <w:t xml:space="preserve"> </w:t>
      </w:r>
    </w:p>
    <w:p>
      <w:pPr>
        <w:spacing w:line="360" w:lineRule="auto"/>
        <w:rPr>
          <w:rFonts w:ascii="宋体" w:hAnsi="宋体" w:eastAsia="宋体" w:cs="Times New Roman"/>
          <w:b/>
          <w:bCs/>
          <w:sz w:val="24"/>
          <w:szCs w:val="20"/>
          <w:highlight w:val="none"/>
        </w:rPr>
      </w:pPr>
      <w:r>
        <w:rPr>
          <w:rFonts w:ascii="宋体" w:hAnsi="宋体" w:eastAsia="宋体" w:cs="Times New Roman"/>
          <w:b/>
          <w:bCs/>
          <w:sz w:val="24"/>
          <w:szCs w:val="20"/>
          <w:highlight w:val="none"/>
        </w:rPr>
        <w:t>中国重汽集团济南动力有限公司：</w:t>
      </w:r>
    </w:p>
    <w:p>
      <w:pPr>
        <w:spacing w:line="360" w:lineRule="auto"/>
        <w:ind w:firstLine="480"/>
        <w:rPr>
          <w:rFonts w:ascii="宋体" w:hAnsi="宋体" w:eastAsia="宋体" w:cs="Times New Roman"/>
          <w:sz w:val="24"/>
          <w:szCs w:val="20"/>
          <w:highlight w:val="none"/>
        </w:rPr>
      </w:pPr>
      <w:r>
        <w:rPr>
          <w:rFonts w:ascii="宋体" w:hAnsi="宋体" w:eastAsia="宋体" w:cs="Times New Roman"/>
          <w:sz w:val="24"/>
          <w:szCs w:val="20"/>
          <w:highlight w:val="none"/>
        </w:rPr>
        <w:t>我代表（投标人名称）对中标合同产品的服务作如下承诺：</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rPr>
          <w:rFonts w:ascii="宋体" w:hAnsi="宋体" w:eastAsia="宋体" w:cs="Times New Roman"/>
          <w:sz w:val="24"/>
          <w:szCs w:val="20"/>
          <w:highlight w:val="none"/>
          <w:u w:val="single"/>
        </w:rPr>
      </w:pP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投标人：（盖章）</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法定代表人（委托代理人）：（签字）</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日  期：       年    月    日</w:t>
      </w:r>
    </w:p>
    <w:p>
      <w:pPr>
        <w:rPr>
          <w:rFonts w:ascii="宋体" w:hAnsi="宋体" w:eastAsia="宋体" w:cs="宋体"/>
          <w:b/>
          <w:bCs/>
          <w:color w:val="000000"/>
          <w:sz w:val="28"/>
          <w:szCs w:val="20"/>
          <w:highlight w:val="none"/>
        </w:rPr>
      </w:pPr>
    </w:p>
    <w:p>
      <w:pPr>
        <w:pStyle w:val="2"/>
        <w:rPr>
          <w:rFonts w:eastAsia="宋体" w:cs="宋体"/>
          <w:b/>
          <w:bCs/>
          <w:color w:val="000000"/>
          <w:sz w:val="28"/>
          <w:szCs w:val="20"/>
          <w:highlight w:val="none"/>
        </w:rPr>
      </w:pPr>
    </w:p>
    <w:p>
      <w:pPr>
        <w:numPr>
          <w:ilvl w:val="0"/>
          <w:numId w:val="0"/>
        </w:numPr>
        <w:outlineLvl w:val="2"/>
        <w:rPr>
          <w:rFonts w:ascii="Times New Roman" w:hAnsi="Times New Roman" w:eastAsia="宋体" w:cs="Times New Roman"/>
          <w:b/>
          <w:bCs/>
          <w:color w:val="000000"/>
          <w:sz w:val="24"/>
          <w:szCs w:val="24"/>
          <w:highlight w:val="none"/>
        </w:rPr>
        <w:sectPr>
          <w:headerReference r:id="rId59" w:type="first"/>
          <w:footerReference r:id="rId61" w:type="first"/>
          <w:headerReference r:id="rId58" w:type="default"/>
          <w:footerReference r:id="rId60" w:type="default"/>
          <w:pgSz w:w="11906" w:h="16838"/>
          <w:pgMar w:top="1588" w:right="1418" w:bottom="1134" w:left="1418" w:header="851" w:footer="992" w:gutter="0"/>
          <w:pgNumType w:fmt="decimal"/>
          <w:cols w:space="720" w:num="1"/>
          <w:formProt w:val="0"/>
          <w:titlePg/>
          <w:docGrid w:type="lines" w:linePitch="312" w:charSpace="0"/>
        </w:sectPr>
      </w:pPr>
    </w:p>
    <w:p>
      <w:pPr>
        <w:numPr>
          <w:ilvl w:val="0"/>
          <w:numId w:val="0"/>
        </w:numPr>
        <w:outlineLvl w:val="2"/>
        <w:rPr>
          <w:rFonts w:ascii="Calibri" w:hAnsi="Calibri" w:eastAsia="宋体" w:cs="Times New Roman"/>
          <w:szCs w:val="20"/>
          <w:highlight w:val="none"/>
        </w:rPr>
      </w:pPr>
      <w:r>
        <w:rPr>
          <w:rFonts w:ascii="Times New Roman" w:hAnsi="Times New Roman" w:eastAsia="宋体" w:cs="Times New Roman"/>
          <w:b/>
          <w:bCs/>
          <w:color w:val="000000"/>
          <w:sz w:val="24"/>
          <w:szCs w:val="24"/>
          <w:highlight w:val="none"/>
        </w:rPr>
        <w:t>附件13 投标档封面及封口格式</w:t>
      </w:r>
    </w:p>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封面格式：</w:t>
      </w:r>
    </w:p>
    <w:tbl>
      <w:tblPr>
        <w:tblStyle w:val="40"/>
        <w:tblW w:w="9060" w:type="dxa"/>
        <w:tblInd w:w="0" w:type="dxa"/>
        <w:tblLayout w:type="fixed"/>
        <w:tblCellMar>
          <w:top w:w="0" w:type="dxa"/>
          <w:left w:w="108" w:type="dxa"/>
          <w:bottom w:w="0" w:type="dxa"/>
          <w:right w:w="108" w:type="dxa"/>
        </w:tblCellMar>
      </w:tblPr>
      <w:tblGrid>
        <w:gridCol w:w="9060"/>
      </w:tblGrid>
      <w:tr>
        <w:tblPrEx>
          <w:tblCellMar>
            <w:top w:w="0" w:type="dxa"/>
            <w:left w:w="108" w:type="dxa"/>
            <w:bottom w:w="0" w:type="dxa"/>
            <w:right w:w="108" w:type="dxa"/>
          </w:tblCellMar>
        </w:tblPrEx>
        <w:tc>
          <w:tcPr>
            <w:tcW w:w="9060" w:type="dxa"/>
            <w:tcBorders>
              <w:top w:val="single" w:color="000000" w:sz="4" w:space="0"/>
              <w:left w:val="single" w:color="000000" w:sz="4" w:space="0"/>
              <w:bottom w:val="single" w:color="000000" w:sz="4" w:space="0"/>
              <w:right w:val="single" w:color="000000" w:sz="4" w:space="0"/>
            </w:tcBorders>
          </w:tcPr>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宋体" w:hAnsi="宋体" w:eastAsia="宋体" w:cs="宋体"/>
                <w:b/>
                <w:sz w:val="30"/>
                <w:szCs w:val="30"/>
                <w:highlight w:val="none"/>
              </w:rPr>
            </w:pPr>
            <w:r>
              <w:rPr>
                <w:rFonts w:ascii="宋体" w:hAnsi="宋体" w:eastAsia="宋体" w:cs="宋体"/>
                <w:b/>
                <w:sz w:val="30"/>
                <w:szCs w:val="30"/>
                <w:highlight w:val="none"/>
              </w:rPr>
              <w:t>技术/资质/商务档</w:t>
            </w:r>
          </w:p>
          <w:p>
            <w:pPr>
              <w:widowControl w:val="0"/>
              <w:spacing w:before="0" w:after="0"/>
              <w:rPr>
                <w:rFonts w:ascii="Times New Roman" w:hAnsi="Times New Roman" w:eastAsia="等线" w:cs="Times New Roman"/>
                <w:b/>
                <w:sz w:val="30"/>
                <w:szCs w:val="30"/>
                <w:highlight w:val="none"/>
              </w:rPr>
            </w:pPr>
          </w:p>
          <w:p>
            <w:pPr>
              <w:widowControl w:val="0"/>
              <w:spacing w:before="0" w:after="0"/>
              <w:jc w:val="center"/>
              <w:rPr>
                <w:rFonts w:ascii="Times New Roman" w:hAnsi="Times New Roman" w:eastAsia="宋体" w:cs="Times New Roman"/>
                <w:b/>
                <w:sz w:val="30"/>
                <w:szCs w:val="30"/>
                <w:highlight w:val="none"/>
              </w:rPr>
            </w:pPr>
            <w:r>
              <w:rPr>
                <w:rFonts w:ascii="宋体" w:hAnsi="宋体" w:eastAsia="宋体" w:cs="宋体"/>
                <w:b/>
                <w:sz w:val="30"/>
                <w:szCs w:val="30"/>
                <w:highlight w:val="none"/>
              </w:rPr>
              <w:t>（</w:t>
            </w:r>
            <w:r>
              <w:rPr>
                <w:rFonts w:eastAsia="宋体" w:cs="Times New Roman"/>
                <w:b/>
                <w:sz w:val="30"/>
                <w:szCs w:val="30"/>
                <w:highlight w:val="none"/>
              </w:rPr>
              <w:t>1</w:t>
            </w:r>
            <w:r>
              <w:rPr>
                <w:rFonts w:ascii="宋体" w:hAnsi="宋体" w:eastAsia="宋体" w:cs="宋体"/>
                <w:b/>
                <w:sz w:val="30"/>
                <w:szCs w:val="30"/>
                <w:highlight w:val="none"/>
              </w:rPr>
              <w:t>正本）</w:t>
            </w: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lang w:eastAsia="zh-CN"/>
              </w:rPr>
            </w:pPr>
            <w:r>
              <w:rPr>
                <w:rFonts w:ascii="宋体" w:hAnsi="宋体" w:eastAsia="宋体" w:cs="宋体"/>
                <w:b/>
                <w:szCs w:val="20"/>
                <w:highlight w:val="none"/>
              </w:rPr>
              <w:t>项目名称：</w:t>
            </w:r>
            <w:r>
              <w:rPr>
                <w:rFonts w:hint="eastAsia" w:eastAsia="宋体" w:cs="Times New Roman"/>
                <w:color w:val="000000"/>
                <w:sz w:val="24"/>
                <w:szCs w:val="24"/>
                <w:highlight w:val="none"/>
                <w:u w:val="single"/>
                <w:lang w:eastAsia="zh-CN"/>
              </w:rPr>
              <w:t>曲轴磨床增加共振点补偿功能项目</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投标人名称（公章）：</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地址：</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授权代表电话：</w:t>
            </w:r>
          </w:p>
          <w:p>
            <w:pPr>
              <w:widowControl w:val="0"/>
              <w:spacing w:before="0" w:after="0"/>
              <w:jc w:val="center"/>
              <w:rPr>
                <w:rFonts w:ascii="Times New Roman" w:hAnsi="Times New Roman" w:eastAsia="宋体" w:cs="Times New Roman"/>
                <w:b/>
                <w:szCs w:val="20"/>
                <w:highlight w:val="none"/>
              </w:rPr>
            </w:pPr>
            <w:r>
              <w:rPr>
                <w:rFonts w:ascii="宋体" w:hAnsi="宋体" w:eastAsia="宋体" w:cs="宋体"/>
                <w:b/>
                <w:szCs w:val="20"/>
                <w:highlight w:val="none"/>
              </w:rPr>
              <w:t>传真：</w:t>
            </w:r>
          </w:p>
          <w:p>
            <w:pPr>
              <w:widowControl w:val="0"/>
              <w:spacing w:before="0" w:after="0"/>
              <w:jc w:val="center"/>
              <w:rPr>
                <w:rFonts w:ascii="Times New Roman" w:hAnsi="Times New Roman" w:eastAsia="宋体" w:cs="Times New Roman"/>
                <w:b/>
                <w:szCs w:val="20"/>
                <w:highlight w:val="none"/>
              </w:rPr>
            </w:pPr>
          </w:p>
          <w:p>
            <w:pPr>
              <w:widowControl w:val="0"/>
              <w:spacing w:before="0" w:after="0"/>
              <w:jc w:val="center"/>
              <w:rPr>
                <w:rFonts w:ascii="Times New Roman" w:hAnsi="Times New Roman" w:eastAsia="宋体" w:cs="Times New Roman"/>
                <w:b/>
                <w:szCs w:val="20"/>
                <w:highlight w:val="none"/>
              </w:rPr>
            </w:pPr>
          </w:p>
        </w:tc>
      </w:tr>
    </w:tbl>
    <w:p>
      <w:pPr>
        <w:spacing w:line="360" w:lineRule="auto"/>
        <w:ind w:firstLine="48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投标人名称：                   授权代表签字：                  日期：</w:t>
      </w:r>
    </w:p>
    <w:p>
      <w:pPr>
        <w:pStyle w:val="2"/>
        <w:rPr>
          <w:rFonts w:ascii="宋体" w:hAnsi="宋体" w:eastAsia="宋体" w:cs="宋体"/>
          <w:b/>
          <w:bCs/>
          <w:color w:val="000000"/>
          <w:sz w:val="28"/>
          <w:szCs w:val="20"/>
          <w:highlight w:val="none"/>
        </w:rPr>
      </w:pPr>
    </w:p>
    <w:p>
      <w:pPr>
        <w:jc w:val="right"/>
        <w:rPr>
          <w:rFonts w:asciiTheme="minorEastAsia" w:hAnsiTheme="minorEastAsia" w:cstheme="minorEastAsia"/>
          <w:sz w:val="20"/>
          <w:szCs w:val="20"/>
          <w:highlight w:val="none"/>
        </w:rPr>
      </w:pPr>
    </w:p>
    <w:p>
      <w:pPr>
        <w:jc w:val="right"/>
        <w:rPr>
          <w:rFonts w:asciiTheme="minorEastAsia" w:hAnsiTheme="minorEastAsia" w:cstheme="minorEastAsia"/>
          <w:sz w:val="20"/>
          <w:szCs w:val="20"/>
          <w:highlight w:val="none"/>
        </w:rPr>
        <w:sectPr>
          <w:footerReference r:id="rId63" w:type="first"/>
          <w:footerReference r:id="rId62" w:type="default"/>
          <w:pgSz w:w="11906" w:h="16838"/>
          <w:pgMar w:top="1588" w:right="1418" w:bottom="1134" w:left="1418" w:header="851" w:footer="992" w:gutter="0"/>
          <w:pgNumType w:fmt="decimal"/>
          <w:cols w:space="720" w:num="1"/>
          <w:formProt w:val="0"/>
          <w:titlePg/>
          <w:docGrid w:type="lines" w:linePitch="312" w:charSpace="0"/>
        </w:sectPr>
      </w:pPr>
    </w:p>
    <w:p>
      <w:pPr>
        <w:numPr>
          <w:ilvl w:val="0"/>
          <w:numId w:val="0"/>
        </w:numPr>
        <w:outlineLvl w:val="2"/>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附件14技术标评分标准（100分）</w:t>
      </w:r>
    </w:p>
    <w:p>
      <w:pPr>
        <w:pStyle w:val="2"/>
        <w:rPr>
          <w:rFonts w:ascii="宋体" w:hAnsi="宋体" w:eastAsia="宋体" w:cs="宋体"/>
          <w:b/>
          <w:bCs/>
          <w:color w:val="000000"/>
          <w:sz w:val="28"/>
          <w:szCs w:val="20"/>
          <w:highlight w:val="none"/>
        </w:rPr>
      </w:pPr>
    </w:p>
    <w:tbl>
      <w:tblPr>
        <w:tblStyle w:val="40"/>
        <w:tblW w:w="13767" w:type="dxa"/>
        <w:jc w:val="center"/>
        <w:tblLayout w:type="fixed"/>
        <w:tblCellMar>
          <w:top w:w="0" w:type="dxa"/>
          <w:left w:w="108" w:type="dxa"/>
          <w:bottom w:w="0" w:type="dxa"/>
          <w:right w:w="108" w:type="dxa"/>
        </w:tblCellMar>
      </w:tblPr>
      <w:tblGrid>
        <w:gridCol w:w="593"/>
        <w:gridCol w:w="4148"/>
        <w:gridCol w:w="837"/>
        <w:gridCol w:w="8188"/>
      </w:tblGrid>
      <w:tr>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numPr>
                <w:ilvl w:val="0"/>
                <w:numId w:val="15"/>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FF0000"/>
                <w:sz w:val="21"/>
                <w:szCs w:val="21"/>
                <w:highlight w:val="none"/>
                <w:lang w:val="en-US" w:eastAsia="zh-CN"/>
              </w:rPr>
              <w:t>30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pPr>
              <w:pStyle w:val="4"/>
              <w:widowControl w:val="0"/>
              <w:numPr>
                <w:ilvl w:val="0"/>
                <w:numId w:val="15"/>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1</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pPr>
        <w:rPr>
          <w:highlight w:val="none"/>
        </w:rPr>
        <w:sectPr>
          <w:headerReference r:id="rId64" w:type="default"/>
          <w:footerReference r:id="rId65" w:type="default"/>
          <w:pgSz w:w="16838" w:h="11906" w:orient="landscape"/>
          <w:pgMar w:top="1418" w:right="1588" w:bottom="1418" w:left="1134" w:header="851" w:footer="992" w:gutter="0"/>
          <w:pgNumType w:fmt="decimal"/>
          <w:cols w:space="720" w:num="1"/>
          <w:formProt w:val="0"/>
          <w:docGrid w:type="lines" w:linePitch="312" w:charSpace="0"/>
        </w:sectPr>
      </w:pPr>
    </w:p>
    <w:p>
      <w:pPr>
        <w:pStyle w:val="2"/>
        <w:numPr>
          <w:ilvl w:val="0"/>
          <w:numId w:val="0"/>
        </w:numPr>
        <w:outlineLvl w:val="2"/>
        <w:rPr>
          <w:rFonts w:eastAsia="宋体" w:cs="宋体"/>
          <w:b/>
          <w:bCs/>
          <w:color w:val="000000"/>
          <w:sz w:val="24"/>
          <w:szCs w:val="24"/>
          <w:highlight w:val="none"/>
        </w:rPr>
      </w:pPr>
      <w:r>
        <w:rPr>
          <w:rFonts w:eastAsia="宋体" w:cs="宋体"/>
          <w:b/>
          <w:bCs/>
          <w:color w:val="000000"/>
          <w:sz w:val="24"/>
          <w:szCs w:val="24"/>
          <w:highlight w:val="none"/>
        </w:rPr>
        <w:t>附件15 SRM非生产供应商注册操作手册</w:t>
      </w:r>
    </w:p>
    <w:p>
      <w:pPr>
        <w:pStyle w:val="2"/>
        <w:rPr>
          <w:rFonts w:eastAsia="宋体"/>
          <w:highlight w:val="none"/>
        </w:rPr>
      </w:pPr>
    </w:p>
    <w:p>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pPr>
        <w:snapToGrid w:val="0"/>
        <w:spacing w:line="360" w:lineRule="auto"/>
        <w:jc w:val="left"/>
        <w:rPr>
          <w:rFonts w:ascii="宋体" w:hAnsi="宋体" w:eastAsia="宋体" w:cs="宋体"/>
          <w:sz w:val="24"/>
          <w:szCs w:val="24"/>
          <w:highlight w:val="none"/>
        </w:rPr>
      </w:pPr>
      <w:r>
        <w:rPr>
          <w:highlight w:val="none"/>
        </w:rPr>
        <w:fldChar w:fldCharType="begin"/>
      </w:r>
      <w:r>
        <w:rPr>
          <w:rFonts w:ascii="宋体" w:hAnsi="宋体" w:eastAsia="宋体" w:cs="宋体"/>
          <w:sz w:val="24"/>
          <w:szCs w:val="24"/>
          <w:highlight w:val="none"/>
        </w:rPr>
        <w:instrText xml:space="preserve">HYPERLINK "http://ecaitong.sinotruk.com:8012/" \l "/login" \n dlt</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933065"/>
            <wp:effectExtent l="0" t="0" r="0" b="0"/>
            <wp:docPr id="75" name="picture"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descr="descript"/>
                    <pic:cNvPicPr>
                      <a:picLocks noChangeAspect="1" noChangeArrowheads="1"/>
                    </pic:cNvPicPr>
                  </pic:nvPicPr>
                  <pic:blipFill>
                    <a:blip r:embed="rId76"/>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2.填写手机号码（没有注册过的）</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766695"/>
            <wp:effectExtent l="0" t="0" r="0" b="0"/>
            <wp:docPr id="76" name="图像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像1" descr="descript"/>
                    <pic:cNvPicPr>
                      <a:picLocks noChangeAspect="1" noChangeArrowheads="1"/>
                    </pic:cNvPicPr>
                  </pic:nvPicPr>
                  <pic:blipFill>
                    <a:blip r:embed="rId77"/>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3.注册成功登录这个手机号码的账号进入系统，点击供应商注册</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869565"/>
            <wp:effectExtent l="0" t="0" r="0" b="0"/>
            <wp:docPr id="77" name="图像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像2" descr="descript"/>
                    <pic:cNvPicPr>
                      <a:picLocks noChangeAspect="1" noChangeArrowheads="1"/>
                    </pic:cNvPicPr>
                  </pic:nvPicPr>
                  <pic:blipFill>
                    <a:blip r:embed="rId78"/>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color w:val="000000"/>
          <w:sz w:val="24"/>
          <w:szCs w:val="28"/>
          <w:highlight w:val="none"/>
        </w:rPr>
        <w:t>4.点击新增</w:t>
      </w:r>
    </w:p>
    <w:p>
      <w:pPr>
        <w:snapToGrid w:val="0"/>
        <w:spacing w:line="312" w:lineRule="auto"/>
        <w:rPr>
          <w:rFonts w:ascii="宋体" w:hAnsi="宋体" w:cs="宋体"/>
          <w:color w:val="000000"/>
          <w:sz w:val="24"/>
          <w:szCs w:val="24"/>
          <w:highlight w:val="none"/>
        </w:rPr>
      </w:pPr>
      <w:r>
        <w:rPr>
          <w:highlight w:val="none"/>
        </w:rPr>
        <w:drawing>
          <wp:inline distT="0" distB="0" distL="0" distR="0">
            <wp:extent cx="5760085" cy="2853055"/>
            <wp:effectExtent l="0" t="0" r="0" b="0"/>
            <wp:docPr id="78" name="图像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像3" descr="descript"/>
                    <pic:cNvPicPr>
                      <a:picLocks noChangeAspect="1" noChangeArrowheads="1"/>
                    </pic:cNvPicPr>
                  </pic:nvPicPr>
                  <pic:blipFill>
                    <a:blip r:embed="rId79"/>
                    <a:stretch>
                      <a:fillRect/>
                    </a:stretch>
                  </pic:blipFill>
                  <pic:spPr>
                    <a:xfrm>
                      <a:off x="0" y="0"/>
                      <a:ext cx="5760085" cy="2853055"/>
                    </a:xfrm>
                    <a:prstGeom prst="rect">
                      <a:avLst/>
                    </a:prstGeom>
                  </pic:spPr>
                </pic:pic>
              </a:graphicData>
            </a:graphic>
          </wp:inline>
        </w:drawing>
      </w:r>
    </w:p>
    <w:p>
      <w:pPr>
        <w:spacing w:line="360" w:lineRule="auto"/>
        <w:rPr>
          <w:rFonts w:ascii="宋体" w:hAnsi="宋体" w:eastAsia="宋体" w:cs="宋体"/>
          <w:sz w:val="24"/>
          <w:szCs w:val="28"/>
          <w:highlight w:val="none"/>
        </w:rPr>
      </w:pPr>
      <w:r>
        <w:rPr>
          <w:rFonts w:ascii="宋体" w:hAnsi="宋体" w:eastAsia="宋体" w:cs="宋体"/>
          <w:sz w:val="24"/>
          <w:szCs w:val="28"/>
          <w:highlight w:val="none"/>
        </w:rPr>
        <w:t>5</w:t>
      </w:r>
      <w:r>
        <w:rPr>
          <w:rFonts w:ascii="宋体" w:hAnsi="宋体" w:eastAsia="宋体" w:cs="宋体"/>
          <w:color w:val="000000"/>
          <w:sz w:val="24"/>
          <w:szCs w:val="28"/>
          <w:highlight w:val="none"/>
        </w:rPr>
        <w:t>.按要求填写所有信息，注意非生产类要填写合作单位，最后提交审批</w:t>
      </w:r>
    </w:p>
    <w:p>
      <w:pPr>
        <w:rPr>
          <w:rFonts w:eastAsia="宋体"/>
          <w:highlight w:val="none"/>
        </w:rPr>
      </w:pPr>
      <w:r>
        <w:rPr>
          <w:rFonts w:eastAsia="宋体"/>
          <w:highlight w:val="none"/>
        </w:rPr>
        <w:t>审批通过后，注意记录本单位的“供应商代码”，代码用于登录系统后应标。登录信息如下：</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初始密码：scm@2022</w:t>
      </w:r>
    </w:p>
    <w:p>
      <w:pPr>
        <w:pStyle w:val="2"/>
        <w:rPr>
          <w:rFonts w:ascii="宋体" w:hAnsi="宋体" w:cs="宋体"/>
          <w:color w:val="000000"/>
          <w:sz w:val="24"/>
          <w:szCs w:val="24"/>
          <w:highlight w:val="none"/>
        </w:rPr>
      </w:pPr>
    </w:p>
    <w:p>
      <w:pPr>
        <w:rPr>
          <w:rFonts w:ascii="宋体" w:hAnsi="宋体" w:cs="宋体"/>
          <w:color w:val="000000"/>
          <w:sz w:val="24"/>
          <w:szCs w:val="24"/>
          <w:highlight w:val="none"/>
        </w:rPr>
      </w:pPr>
      <w:r>
        <w:rPr>
          <w:highlight w:val="none"/>
        </w:rPr>
        <w:drawing>
          <wp:inline distT="0" distB="0" distL="0" distR="0">
            <wp:extent cx="5760085" cy="2809875"/>
            <wp:effectExtent l="0" t="0" r="0" b="0"/>
            <wp:docPr id="79" name="图像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像4" descr="descript"/>
                    <pic:cNvPicPr>
                      <a:picLocks noChangeAspect="1" noChangeArrowheads="1"/>
                    </pic:cNvPicPr>
                  </pic:nvPicPr>
                  <pic:blipFill>
                    <a:blip r:embed="rId80"/>
                    <a:stretch>
                      <a:fillRect/>
                    </a:stretch>
                  </pic:blipFill>
                  <pic:spPr>
                    <a:xfrm>
                      <a:off x="0" y="0"/>
                      <a:ext cx="5760085" cy="2809875"/>
                    </a:xfrm>
                    <a:prstGeom prst="rect">
                      <a:avLst/>
                    </a:prstGeom>
                  </pic:spPr>
                </pic:pic>
              </a:graphicData>
            </a:graphic>
          </wp:inline>
        </w:drawing>
      </w:r>
    </w:p>
    <w:p>
      <w:pPr>
        <w:pStyle w:val="2"/>
        <w:rPr>
          <w:rFonts w:ascii="宋体" w:hAnsi="宋体" w:cs="宋体"/>
          <w:color w:val="000000"/>
          <w:sz w:val="24"/>
          <w:szCs w:val="24"/>
          <w:highlight w:val="none"/>
        </w:rPr>
      </w:pPr>
      <w:r>
        <w:rPr>
          <w:highlight w:val="none"/>
        </w:rPr>
        <w:drawing>
          <wp:inline distT="0" distB="0" distL="0" distR="0">
            <wp:extent cx="5760085" cy="2820035"/>
            <wp:effectExtent l="0" t="0" r="0" b="0"/>
            <wp:docPr id="80" name="图像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像5" descr="descript"/>
                    <pic:cNvPicPr>
                      <a:picLocks noChangeAspect="1" noChangeArrowheads="1"/>
                    </pic:cNvPicPr>
                  </pic:nvPicPr>
                  <pic:blipFill>
                    <a:blip r:embed="rId81"/>
                    <a:stretch>
                      <a:fillRect/>
                    </a:stretch>
                  </pic:blipFill>
                  <pic:spPr>
                    <a:xfrm>
                      <a:off x="0" y="0"/>
                      <a:ext cx="5760085" cy="2820035"/>
                    </a:xfrm>
                    <a:prstGeom prst="rect">
                      <a:avLst/>
                    </a:prstGeom>
                  </pic:spPr>
                </pic:pic>
              </a:graphicData>
            </a:graphic>
          </wp:inline>
        </w:drawing>
      </w:r>
    </w:p>
    <w:p>
      <w:pPr>
        <w:pStyle w:val="2"/>
        <w:rPr>
          <w:rFonts w:ascii="宋体" w:hAnsi="宋体" w:cs="宋体"/>
          <w:color w:val="000000"/>
          <w:sz w:val="24"/>
          <w:szCs w:val="24"/>
          <w:highlight w:val="none"/>
        </w:rPr>
      </w:pPr>
    </w:p>
    <w:p>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ascii="宋体" w:hAnsi="宋体" w:eastAsia="宋体" w:cs="宋体"/>
          <w:b/>
          <w:bCs/>
          <w:color w:val="000000"/>
          <w:sz w:val="24"/>
          <w:szCs w:val="28"/>
          <w:highlight w:val="none"/>
        </w:rPr>
        <w:t>1.“项目名称”和“采购形式编号”见投标须知前附表1.1；</w:t>
      </w:r>
    </w:p>
    <w:p>
      <w:pPr>
        <w:pStyle w:val="2"/>
        <w:rPr>
          <w:rFonts w:ascii="宋体" w:hAnsi="宋体" w:cs="宋体"/>
          <w:color w:val="000000"/>
          <w:sz w:val="24"/>
          <w:szCs w:val="24"/>
          <w:highlight w:val="none"/>
        </w:rPr>
        <w:sectPr>
          <w:headerReference r:id="rId67" w:type="first"/>
          <w:footerReference r:id="rId69" w:type="first"/>
          <w:headerReference r:id="rId66" w:type="default"/>
          <w:footerReference r:id="rId68" w:type="default"/>
          <w:pgSz w:w="11906" w:h="16838"/>
          <w:pgMar w:top="1588" w:right="1418" w:bottom="1134" w:left="1418" w:header="851" w:footer="992" w:gutter="0"/>
          <w:pgNumType w:fmt="decimal"/>
          <w:cols w:space="720" w:num="1"/>
          <w:formProt w:val="0"/>
          <w:titlePg/>
          <w:docGrid w:type="lines" w:linePitch="312" w:charSpace="0"/>
        </w:sectPr>
      </w:pPr>
      <w:r>
        <w:rPr>
          <w:rFonts w:eastAsia="宋体" w:cs="宋体"/>
          <w:b/>
          <w:bCs/>
          <w:color w:val="000000"/>
          <w:sz w:val="24"/>
          <w:szCs w:val="28"/>
          <w:highlight w:val="none"/>
        </w:rPr>
        <w:t>2.配套能力“供货类别”填“</w:t>
      </w:r>
      <w:r>
        <w:rPr>
          <w:rFonts w:eastAsia="宋体" w:cs="宋体"/>
          <w:b/>
          <w:bCs/>
          <w:color w:val="000000"/>
          <w:sz w:val="24"/>
          <w:szCs w:val="28"/>
          <w:highlight w:val="none"/>
          <w:lang w:val="en-US" w:eastAsia="zh-CN"/>
        </w:rPr>
        <w:t>工艺设备</w:t>
      </w:r>
      <w:r>
        <w:rPr>
          <w:rFonts w:eastAsia="宋体" w:cs="宋体"/>
          <w:b/>
          <w:bCs/>
          <w:color w:val="000000"/>
          <w:sz w:val="24"/>
          <w:szCs w:val="28"/>
          <w:highlight w:val="none"/>
        </w:rPr>
        <w:t>”，业务主管部门为“</w:t>
      </w:r>
      <w:r>
        <w:rPr>
          <w:rFonts w:eastAsia="宋体" w:cs="宋体"/>
          <w:b/>
          <w:bCs/>
          <w:color w:val="000000"/>
          <w:sz w:val="24"/>
          <w:szCs w:val="28"/>
          <w:highlight w:val="none"/>
          <w:lang w:val="en-US" w:eastAsia="zh-CN"/>
        </w:rPr>
        <w:t>工艺工匠研究院</w:t>
      </w:r>
      <w:r>
        <w:rPr>
          <w:rFonts w:eastAsia="宋体" w:cs="宋体"/>
          <w:b/>
          <w:bCs/>
          <w:color w:val="000000"/>
          <w:sz w:val="24"/>
          <w:szCs w:val="28"/>
          <w:highlight w:val="none"/>
        </w:rPr>
        <w:t>”。</w:t>
      </w:r>
    </w:p>
    <w:p>
      <w:pPr>
        <w:pStyle w:val="2"/>
        <w:numPr>
          <w:ilvl w:val="0"/>
          <w:numId w:val="0"/>
        </w:numPr>
        <w:outlineLvl w:val="2"/>
        <w:rPr>
          <w:rFonts w:eastAsia="宋体" w:cs="Times New Roman"/>
          <w:b/>
          <w:color w:val="000000"/>
          <w:sz w:val="24"/>
          <w:szCs w:val="24"/>
          <w:highlight w:val="none"/>
        </w:rPr>
      </w:pPr>
      <w:r>
        <w:rPr>
          <w:rFonts w:eastAsia="宋体" w:cs="宋体"/>
          <w:b/>
          <w:bCs/>
          <w:color w:val="000000"/>
          <w:sz w:val="24"/>
          <w:szCs w:val="24"/>
          <w:highlight w:val="none"/>
        </w:rPr>
        <w:t xml:space="preserve">附件16 </w:t>
      </w:r>
      <w:r>
        <w:rPr>
          <w:rFonts w:eastAsia="宋体" w:cs="Times New Roman"/>
          <w:b/>
          <w:color w:val="000000"/>
          <w:sz w:val="24"/>
          <w:szCs w:val="24"/>
          <w:highlight w:val="none"/>
        </w:rPr>
        <w:t>SRM系统供应商用户手册</w:t>
      </w:r>
    </w:p>
    <w:p>
      <w:pPr>
        <w:spacing w:line="360" w:lineRule="auto"/>
        <w:rPr>
          <w:rStyle w:val="49"/>
          <w:rFonts w:ascii="宋体" w:hAnsi="宋体" w:eastAsia="宋体" w:cs="宋体"/>
          <w:sz w:val="24"/>
          <w:szCs w:val="24"/>
          <w:highlight w:val="none"/>
        </w:rPr>
      </w:pPr>
      <w:r>
        <w:rPr>
          <w:rFonts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\h </w:instrText>
      </w:r>
      <w:r>
        <w:rPr>
          <w:highlight w:val="none"/>
        </w:rPr>
        <w:fldChar w:fldCharType="separate"/>
      </w:r>
      <w:r>
        <w:rPr>
          <w:rStyle w:val="47"/>
          <w:rFonts w:ascii="宋体" w:hAnsi="宋体" w:eastAsia="宋体" w:cs="宋体"/>
          <w:sz w:val="24"/>
          <w:szCs w:val="24"/>
          <w:highlight w:val="none"/>
        </w:rPr>
        <w:t>http</w:t>
      </w:r>
      <w:r>
        <w:rPr>
          <w:rStyle w:val="47"/>
          <w:rFonts w:hint="eastAsia" w:ascii="宋体" w:hAnsi="宋体" w:eastAsia="宋体" w:cs="宋体"/>
          <w:sz w:val="24"/>
          <w:szCs w:val="24"/>
          <w:highlight w:val="none"/>
          <w:lang w:val="en-US" w:eastAsia="zh-CN"/>
        </w:rPr>
        <w:t>s</w:t>
      </w:r>
      <w:r>
        <w:rPr>
          <w:rStyle w:val="47"/>
          <w:rFonts w:ascii="宋体" w:hAnsi="宋体" w:eastAsia="宋体" w:cs="宋体"/>
          <w:sz w:val="24"/>
          <w:szCs w:val="24"/>
          <w:highlight w:val="none"/>
        </w:rPr>
        <w:t>://ecaitong.sinotruk.com:8012/</w:t>
      </w:r>
      <w:r>
        <w:rPr>
          <w:rStyle w:val="47"/>
          <w:rFonts w:ascii="宋体" w:hAnsi="宋体" w:eastAsia="宋体" w:cs="宋体"/>
          <w:sz w:val="24"/>
          <w:szCs w:val="24"/>
          <w:highlight w:val="none"/>
        </w:rPr>
        <w:fldChar w:fldCharType="end"/>
      </w:r>
      <w:r>
        <w:rPr>
          <w:rStyle w:val="49"/>
          <w:rFonts w:ascii="宋体" w:hAnsi="宋体" w:eastAsia="宋体" w:cs="宋体"/>
          <w:sz w:val="24"/>
          <w:szCs w:val="24"/>
          <w:highlight w:val="none"/>
        </w:rPr>
        <w:t>（以下内容可能非最新版本，仅供参考，请登录系统网址后，点检查看最新版供应商手册）</w:t>
      </w:r>
    </w:p>
    <w:p>
      <w:pPr>
        <w:spacing w:line="360" w:lineRule="auto"/>
        <w:rPr>
          <w:rFonts w:ascii="宋体" w:hAnsi="宋体" w:eastAsia="宋体" w:cs="宋体"/>
          <w:sz w:val="24"/>
          <w:szCs w:val="24"/>
          <w:highlight w:val="none"/>
        </w:rPr>
      </w:pPr>
      <w:r>
        <w:rPr>
          <w:highlight w:val="none"/>
        </w:rPr>
        <mc:AlternateContent>
          <mc:Choice Requires="wps">
            <w:drawing>
              <wp:anchor distT="0" distB="0" distL="0" distR="0" simplePos="0" relativeHeight="251659264" behindDoc="0" locked="0" layoutInCell="0" allowOverlap="1">
                <wp:simplePos x="0" y="0"/>
                <wp:positionH relativeFrom="column">
                  <wp:posOffset>1597025</wp:posOffset>
                </wp:positionH>
                <wp:positionV relativeFrom="paragraph">
                  <wp:posOffset>3650615</wp:posOffset>
                </wp:positionV>
                <wp:extent cx="2154555" cy="322580"/>
                <wp:effectExtent l="6350" t="6350" r="11430" b="14605"/>
                <wp:wrapNone/>
                <wp:docPr id="85" name="流程图: 过程 39"/>
                <wp:cNvGraphicFramePr/>
                <a:graphic xmlns:a="http://schemas.openxmlformats.org/drawingml/2006/main">
                  <a:graphicData uri="http://schemas.microsoft.com/office/word/2010/wordprocessingShape">
                    <wps:wsp>
                      <wps:cNvSpPr/>
                      <wps:spPr>
                        <a:xfrm>
                          <a:off x="0" y="0"/>
                          <a:ext cx="2153880" cy="321840"/>
                        </a:xfrm>
                        <a:prstGeom prst="flowChartProcess">
                          <a:avLst/>
                        </a:prstGeom>
                        <a:solidFill>
                          <a:srgbClr val="FA3A14">
                            <a:alpha val="38000"/>
                          </a:srgbClr>
                        </a:solidFill>
                        <a:ln>
                          <a:solidFill>
                            <a:srgbClr val="43729D"/>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流程图: 过程 39" o:spid="_x0000_s1026" o:spt="109" type="#_x0000_t109" style="position:absolute;left:0pt;margin-left:125.75pt;margin-top:287.45pt;height:25.4pt;width:169.65pt;z-index:251659264;mso-width-relative:page;mso-height-relative:page;" fillcolor="#FA3A14" filled="t" stroked="t" coordsize="21600,21600" o:allowincell="f" o:gfxdata="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Jevr9kAAAALAQAADwAAAAAA&#10;AAABACAAAAAiAAAAZHJzL2Rvd25yZXYueG1sUEsBAhQAFAAAAAgAh07iQCMQMwsSAgAAEQQAAA4A&#10;AAAAAAAAAQAgAAAAKAEAAGRycy9lMm9Eb2MueG1sUEsFBgAAAAAGAAYAWQEAAKwFAAAAAA==&#10;">
                <v:fill on="t" opacity="24903f" focussize="0,0"/>
                <v:stroke weight="1pt" color="#43729D [3204]" miterlimit="8" joinstyle="miter"/>
                <v:imagedata o:title=""/>
                <o:lock v:ext="edit" aspectratio="f"/>
              </v:shape>
            </w:pict>
          </mc:Fallback>
        </mc:AlternateContent>
      </w:r>
      <w:r>
        <w:rPr>
          <w:highlight w:val="none"/>
        </w:rPr>
        <w:drawing>
          <wp:inline distT="0" distB="0" distL="0" distR="0">
            <wp:extent cx="4067175" cy="4876800"/>
            <wp:effectExtent l="0" t="0" r="0" b="0"/>
            <wp:docPr id="86" name="图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像6"/>
                    <pic:cNvPicPr>
                      <a:picLocks noChangeAspect="1" noChangeArrowheads="1"/>
                    </pic:cNvPicPr>
                  </pic:nvPicPr>
                  <pic:blipFill>
                    <a:blip r:embed="rId82"/>
                    <a:stretch>
                      <a:fillRect/>
                    </a:stretch>
                  </pic:blipFill>
                  <pic:spPr>
                    <a:xfrm>
                      <a:off x="0" y="0"/>
                      <a:ext cx="4067175" cy="4876800"/>
                    </a:xfrm>
                    <a:prstGeom prst="rect">
                      <a:avLst/>
                    </a:prstGeom>
                  </pic:spPr>
                </pic:pic>
              </a:graphicData>
            </a:graphic>
          </wp:inline>
        </w:drawing>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用 户 名：gys+供应商代码（</w:t>
      </w:r>
      <w:r>
        <w:rPr>
          <w:rFonts w:ascii="宋体" w:hAnsi="宋体" w:eastAsia="宋体" w:cs="宋体"/>
          <w:color w:val="FF0000"/>
          <w:sz w:val="24"/>
          <w:szCs w:val="24"/>
          <w:highlight w:val="none"/>
        </w:rPr>
        <w:t>注意：注册完毕后，用户名不要用手机号登录</w:t>
      </w:r>
      <w:r>
        <w:rPr>
          <w:rFonts w:ascii="宋体" w:hAnsi="宋体" w:eastAsia="宋体" w:cs="宋体"/>
          <w:color w:val="000000"/>
          <w:sz w:val="24"/>
          <w:szCs w:val="24"/>
          <w:highlight w:val="none"/>
        </w:rPr>
        <w:t>）</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初始密码：scm@2022</w:t>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1.供应商应标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路径：招投标中心-非生产类招投标-供应商应标</w:t>
      </w:r>
    </w:p>
    <w:p>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点击应标，上传档之后点击提交。</w:t>
      </w:r>
    </w:p>
    <w:p>
      <w:pPr>
        <w:rPr>
          <w:rFonts w:ascii="宋体" w:hAnsi="宋体" w:cs="宋体"/>
          <w:color w:val="000000"/>
          <w:sz w:val="24"/>
          <w:szCs w:val="24"/>
          <w:highlight w:val="none"/>
        </w:rPr>
      </w:pPr>
      <w:r>
        <w:rPr>
          <w:highlight w:val="none"/>
        </w:rPr>
        <w:drawing>
          <wp:inline distT="0" distB="0" distL="0" distR="0">
            <wp:extent cx="5760085" cy="2269490"/>
            <wp:effectExtent l="0" t="0" r="0" b="0"/>
            <wp:docPr id="87" name="图像7"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像7" descr="descript"/>
                    <pic:cNvPicPr>
                      <a:picLocks noChangeAspect="1" noChangeArrowheads="1"/>
                    </pic:cNvPicPr>
                  </pic:nvPicPr>
                  <pic:blipFill>
                    <a:blip r:embed="rId83"/>
                    <a:stretch>
                      <a:fillRect/>
                    </a:stretch>
                  </pic:blipFill>
                  <pic:spPr>
                    <a:xfrm>
                      <a:off x="0" y="0"/>
                      <a:ext cx="5760085" cy="2269490"/>
                    </a:xfrm>
                    <a:prstGeom prst="rect">
                      <a:avLst/>
                    </a:prstGeom>
                  </pic:spPr>
                </pic:pic>
              </a:graphicData>
            </a:graphic>
          </wp:inline>
        </w:drawing>
      </w:r>
    </w:p>
    <w:p>
      <w:pPr>
        <w:rPr>
          <w:rFonts w:ascii="宋体" w:hAnsi="宋体" w:cs="宋体"/>
          <w:color w:val="000000"/>
          <w:sz w:val="24"/>
          <w:szCs w:val="24"/>
          <w:highlight w:val="none"/>
        </w:rPr>
      </w:pP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2.供应商投标</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路径：招投标中心-非生产类招投标-供应商投标</w:t>
      </w:r>
    </w:p>
    <w:p>
      <w:pPr>
        <w:rPr>
          <w:rFonts w:ascii="宋体" w:hAnsi="宋体" w:eastAsia="宋体" w:cs="宋体"/>
          <w:color w:val="000000"/>
          <w:highlight w:val="none"/>
        </w:rPr>
      </w:pPr>
      <w:r>
        <w:rPr>
          <w:highlight w:val="none"/>
        </w:rPr>
        <w:drawing>
          <wp:inline distT="0" distB="0" distL="0" distR="0">
            <wp:extent cx="5760085" cy="2125345"/>
            <wp:effectExtent l="0" t="0" r="0" b="0"/>
            <wp:docPr id="88" name="图像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像8" descr="descript"/>
                    <pic:cNvPicPr>
                      <a:picLocks noChangeAspect="1" noChangeArrowheads="1"/>
                    </pic:cNvPicPr>
                  </pic:nvPicPr>
                  <pic:blipFill>
                    <a:blip r:embed="rId84"/>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pPr>
        <w:rPr>
          <w:b/>
          <w:bCs/>
          <w:highlight w:val="none"/>
        </w:rPr>
      </w:pPr>
      <w:r>
        <w:rPr>
          <w:rFonts w:ascii="宋体" w:hAnsi="宋体" w:eastAsia="宋体" w:cs="宋体"/>
          <w:b/>
          <w:bCs/>
          <w:color w:val="000000"/>
          <w:sz w:val="24"/>
          <w:szCs w:val="28"/>
          <w:highlight w:val="none"/>
        </w:rPr>
        <w:t>注意：系统内的投标报价单位为“万元”，如开标现场发现填错报价，即直接淘汰。</w:t>
      </w:r>
    </w:p>
    <w:p>
      <w:pPr>
        <w:pStyle w:val="2"/>
        <w:rPr>
          <w:rFonts w:ascii="宋体" w:hAnsi="宋体" w:cs="宋体"/>
          <w:color w:val="000000"/>
          <w:sz w:val="24"/>
          <w:szCs w:val="24"/>
          <w:highlight w:val="none"/>
        </w:rPr>
      </w:pPr>
    </w:p>
    <w:p>
      <w:pPr>
        <w:spacing w:before="280" w:after="290" w:line="372" w:lineRule="auto"/>
        <w:ind w:left="425" w:hanging="425"/>
        <w:rPr>
          <w:rFonts w:ascii="Arial" w:hAnsi="Arial" w:eastAsia="Arial" w:cs="Arial"/>
          <w:color w:val="000000"/>
          <w:sz w:val="28"/>
          <w:highlight w:val="none"/>
        </w:rPr>
      </w:pPr>
      <w:r>
        <w:rPr>
          <w:rFonts w:eastAsia="宋体" w:cs="Arial"/>
          <w:color w:val="000000"/>
          <w:sz w:val="28"/>
          <w:highlight w:val="none"/>
        </w:rPr>
        <w:t xml:space="preserve"> </w:t>
      </w:r>
      <w:r>
        <w:rPr>
          <w:highlight w:val="none"/>
        </w:rPr>
        <w:drawing>
          <wp:inline distT="0" distB="0" distL="0" distR="0">
            <wp:extent cx="5490210" cy="2668905"/>
            <wp:effectExtent l="0" t="0" r="0" b="0"/>
            <wp:docPr id="89" name="图像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像9" descr="descript"/>
                    <pic:cNvPicPr>
                      <a:picLocks noChangeAspect="1" noChangeArrowheads="1"/>
                    </pic:cNvPicPr>
                  </pic:nvPicPr>
                  <pic:blipFill>
                    <a:blip r:embed="rId85"/>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3.供应商技术标澄清函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路径：招投标中心-非生产类招投标-供应商技术标澄清函</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点击编辑按钮进入系统，编辑技术标澄清函最后填写授权代表姓名及电话。</w:t>
      </w:r>
    </w:p>
    <w:p>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 都不可编辑</w:t>
      </w:r>
      <w:r>
        <w:rPr>
          <w:highlight w:val="none"/>
        </w:rPr>
        <w:drawing>
          <wp:inline distT="0" distB="0" distL="0" distR="0">
            <wp:extent cx="5490210" cy="1992630"/>
            <wp:effectExtent l="0" t="0" r="0" b="0"/>
            <wp:docPr id="90" name="图像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像10" descr="descript"/>
                    <pic:cNvPicPr>
                      <a:picLocks noChangeAspect="1" noChangeArrowheads="1"/>
                    </pic:cNvPicPr>
                  </pic:nvPicPr>
                  <pic:blipFill>
                    <a:blip r:embed="rId86"/>
                    <a:stretch>
                      <a:fillRect/>
                    </a:stretch>
                  </pic:blipFill>
                  <pic:spPr>
                    <a:xfrm>
                      <a:off x="0" y="0"/>
                      <a:ext cx="5490210" cy="1992630"/>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4.供应商报价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5.供应商澄清报价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路径：招投标中心-非生产类招投标-供应商澄清报价</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招标发起人接收建议价的同时会给供应商发送澄清报价，供应商在此界面进行澄清报价，点击编辑按钮进入澄清报价详细界面，输入价格并填写商务澄清内容（最后填写授权代表姓名、电话），之后点击提交。</w:t>
      </w:r>
    </w:p>
    <w:p>
      <w:pPr>
        <w:pStyle w:val="6"/>
        <w:ind w:left="425" w:hanging="425"/>
        <w:rPr>
          <w:rFonts w:eastAsia="Arial" w:cs="Arial"/>
          <w:color w:val="000000"/>
          <w:highlight w:val="none"/>
        </w:rPr>
      </w:pPr>
      <w:r>
        <w:rPr>
          <w:highlight w:val="none"/>
        </w:rPr>
        <w:drawing>
          <wp:inline distT="0" distB="0" distL="0" distR="0">
            <wp:extent cx="5490210" cy="2544445"/>
            <wp:effectExtent l="0" t="0" r="0" b="0"/>
            <wp:docPr id="91" name="图像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像11" descr="descript"/>
                    <pic:cNvPicPr>
                      <a:picLocks noChangeAspect="1" noChangeArrowheads="1"/>
                    </pic:cNvPicPr>
                  </pic:nvPicPr>
                  <pic:blipFill>
                    <a:blip r:embed="rId87"/>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highlight w:val="none"/>
        </w:rPr>
      </w:pPr>
      <w:r>
        <w:rPr>
          <w:rFonts w:ascii="宋体" w:hAnsi="宋体" w:eastAsia="宋体" w:cs="宋体"/>
          <w:b/>
          <w:bCs/>
          <w:color w:val="000000"/>
          <w:sz w:val="24"/>
          <w:szCs w:val="24"/>
          <w:highlight w:val="none"/>
        </w:rPr>
        <w:t>6.供应商查看中标通知</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路径：招投标中心-非生产类招投标-中标项目</w:t>
      </w:r>
    </w:p>
    <w:p>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pPr>
        <w:pStyle w:val="2"/>
        <w:rPr>
          <w:rFonts w:eastAsia="宋体" w:cs="Times New Roman"/>
          <w:b/>
          <w:color w:val="000000"/>
          <w:sz w:val="24"/>
          <w:szCs w:val="24"/>
          <w:highlight w:val="none"/>
        </w:rPr>
      </w:pPr>
      <w:bookmarkStart w:id="57" w:name="OLE_LINK10"/>
      <w:r>
        <w:rPr>
          <w:highlight w:val="none"/>
        </w:rPr>
        <w:drawing>
          <wp:inline distT="0" distB="0" distL="0" distR="0">
            <wp:extent cx="5760085" cy="1956435"/>
            <wp:effectExtent l="0" t="0" r="0" b="0"/>
            <wp:docPr id="92" name="图像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像12" descr="descript"/>
                    <pic:cNvPicPr>
                      <a:picLocks noChangeAspect="1" noChangeArrowheads="1"/>
                    </pic:cNvPicPr>
                  </pic:nvPicPr>
                  <pic:blipFill>
                    <a:blip r:embed="rId88"/>
                    <a:stretch>
                      <a:fillRect/>
                    </a:stretch>
                  </pic:blipFill>
                  <pic:spPr>
                    <a:xfrm>
                      <a:off x="0" y="0"/>
                      <a:ext cx="5760085" cy="1956435"/>
                    </a:xfrm>
                    <a:prstGeom prst="rect">
                      <a:avLst/>
                    </a:prstGeom>
                  </pic:spPr>
                </pic:pic>
              </a:graphicData>
            </a:graphic>
          </wp:inline>
        </w:drawing>
      </w:r>
      <w:bookmarkEnd w:id="57"/>
    </w:p>
    <w:sectPr>
      <w:headerReference r:id="rId71" w:type="first"/>
      <w:footerReference r:id="rId73" w:type="first"/>
      <w:headerReference r:id="rId70" w:type="default"/>
      <w:footerReference r:id="rId72" w:type="default"/>
      <w:pgSz w:w="11906" w:h="16838"/>
      <w:pgMar w:top="1588" w:right="1418" w:bottom="1134" w:left="1418" w:header="851" w:footer="992" w:gutter="0"/>
      <w:pgNumType w:fmt="decimal"/>
      <w:cols w:space="720" w:num="1"/>
      <w:formProt w:val="0"/>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roman"/>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_GB2312">
    <w:panose1 w:val="02010609030101010101"/>
    <w:charset w:val="86"/>
    <w:family w:val="roma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roman"/>
    <w:pitch w:val="default"/>
    <w:sig w:usb0="80000287" w:usb1="2ACF3C50" w:usb2="00000016" w:usb3="00000000" w:csb0="0004001F" w:csb1="00000000"/>
  </w:font>
  <w:font w:name="等线 Light">
    <w:panose1 w:val="02010600030101010101"/>
    <w:charset w:val="86"/>
    <w:family w:val="roman"/>
    <w:pitch w:val="default"/>
    <w:sig w:usb0="A00002BF" w:usb1="38CF7CFA" w:usb2="00000016" w:usb3="00000000" w:csb0="0004000F" w:csb1="00000000"/>
  </w:font>
  <w:font w:name="DejaVu Sans">
    <w:altName w:val="Segoe Print"/>
    <w:panose1 w:val="020B0606030804020204"/>
    <w:charset w:val="00"/>
    <w:family w:val="auto"/>
    <w:pitch w:val="default"/>
    <w:sig w:usb0="00000000" w:usb1="00000000" w:usb2="0A246029" w:usb3="0400200C" w:csb0="600001FF" w:csb1="DFFF0000"/>
  </w:font>
  <w:font w:name="Noto Sans CJK SC">
    <w:altName w:val="宋体"/>
    <w:panose1 w:val="020B0500000000000000"/>
    <w:charset w:val="86"/>
    <w:family w:val="auto"/>
    <w:pitch w:val="default"/>
    <w:sig w:usb0="00000000" w:usb1="00000000" w:usb2="00000016" w:usb3="00000000" w:csb0="602E0107" w:csb1="00000000"/>
  </w:font>
  <w:font w:name="Verdana">
    <w:panose1 w:val="020B0604030504040204"/>
    <w:charset w:val="01"/>
    <w:family w:val="roman"/>
    <w:pitch w:val="default"/>
    <w:sig w:usb0="A00006FF" w:usb1="4000205B" w:usb2="00000010" w:usb3="00000000" w:csb0="2000019F" w:csb1="00000000"/>
  </w:font>
  <w:font w:name="楷体_GB2312">
    <w:panose1 w:val="02010609030101010101"/>
    <w:charset w:val="86"/>
    <w:family w:val="roman"/>
    <w:pitch w:val="default"/>
    <w:sig w:usb0="00000001" w:usb1="080E0000" w:usb2="00000000" w:usb3="00000000" w:csb0="00040000" w:csb1="00000000"/>
  </w:font>
  <w:font w:name="华文仿宋">
    <w:panose1 w:val="02010600040101010101"/>
    <w:charset w:val="86"/>
    <w:family w:val="roman"/>
    <w:pitch w:val="default"/>
    <w:sig w:usb0="00000287" w:usb1="080F0000" w:usb2="00000000" w:usb3="00000000" w:csb0="0004009F" w:csb1="DFD70000"/>
  </w:font>
  <w:font w:name="Segoe UI Emoji">
    <w:panose1 w:val="020B0502040204020203"/>
    <w:charset w:val="00"/>
    <w:family w:val="auto"/>
    <w:pitch w:val="default"/>
    <w:sig w:usb0="00000001" w:usb1="02000000" w:usb2="00000000" w:usb3="00000000" w:csb0="00000001" w:csb1="00000000"/>
  </w:font>
  <w:font w:name="方正小标宋简体">
    <w:panose1 w:val="03000509000000000000"/>
    <w:charset w:val="86"/>
    <w:family w:val="roma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 name="文本框 4"/>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wps:txbx>
                    <wps:bodyPr lIns="0" tIns="0" rIns="0" bIns="0">
                      <a:spAutoFit/>
                    </wps:bodyPr>
                  </wps:wsp>
                </a:graphicData>
              </a:graphic>
            </wp:anchor>
          </w:drawing>
        </mc:Choice>
        <mc:Fallback>
          <w:pict>
            <v:rect id="文本框 4"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7NBz81QAAAAQBAAAPAAAAAAAAAAEAIAAAACIAAABkcnMvZG93bnJldi54bWxQ&#10;SwECFAAUAAAACACHTuJAo/9r48EBAAB/AwAADgAAAAAAAAABACAAAAAkAQAAZHJzL2Uyb0RvYy54&#10;bWxQSwUGAAAAAAYABgBZAQAAVwU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2</w:t>
                    </w:r>
                    <w:r>
                      <w:rPr>
                        <w:color w:val="000000"/>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7" name="文本框 7"/>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wps:txbx>
                    <wps:bodyPr lIns="0" tIns="0" rIns="0" bIns="0">
                      <a:spAutoFit/>
                    </wps:bodyPr>
                  </wps:wsp>
                </a:graphicData>
              </a:graphic>
            </wp:anchor>
          </w:drawing>
        </mc:Choice>
        <mc:Fallback>
          <w:pict>
            <v:rect id="文本框 7"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I8sk9wwEAAIADAAAOAAAAAAAAAAEAIAAAACQBAABkcnMvZTJvRG9j&#10;LnhtbFBLBQYAAAAABgAGAFkBAABZ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71</w:t>
                    </w:r>
                    <w:r>
                      <w:rPr>
                        <w:color w:val="000000"/>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29" name="文本框 6"/>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wps:txbx>
                    <wps:bodyPr lIns="0" tIns="0" rIns="0" bIns="0">
                      <a:spAutoFit/>
                    </wps:bodyPr>
                  </wps:wsp>
                </a:graphicData>
              </a:graphic>
            </wp:anchor>
          </w:drawing>
        </mc:Choice>
        <mc:Fallback>
          <w:pict>
            <v:rect id="文本框 6"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kZKMMBAACA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1rdUmKZwY2ffv44&#10;/fpz+v2dLJI+vYca0x79Q5g8QDORHWQw6Ys0yJA1PV40FUMkHC/ny2q5LFFujrH54t1NlUUvnqp9&#10;gPhBOEOS0dCAO8tSssMniNgRU88pqZl190rrvDdtSd/QxdubMhdcIlihLRamycdZkxWH7TAR2Lr2&#10;iLT1R4tSpmdxNsLZ2E5G6gj+/T5i1zxMQhrLpwa4mDzj9IjS5p/7Oevpx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z6RkowwEAAIADAAAOAAAAAAAAAAEAIAAAACQBAABkcnMvZTJvRG9j&#10;LnhtbFBLBQYAAAAABgAGAFkBAABZ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50</w:t>
                    </w:r>
                    <w:r>
                      <w:rPr>
                        <w:color w:val="000000"/>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3" name="文本框 5"/>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wps:txbx>
                    <wps:bodyPr lIns="0" tIns="0" rIns="0" bIns="0">
                      <a:spAutoFit/>
                    </wps:bodyPr>
                  </wps:wsp>
                </a:graphicData>
              </a:graphic>
            </wp:anchor>
          </w:drawing>
        </mc:Choice>
        <mc:Fallback>
          <w:pict>
            <v:rect id="文本框 5"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DShxB7CAQAAfwMAAA4AAAAAAAAAAQAgAAAAJAEAAGRycy9lMm9Eb2Mu&#10;eG1sUEsFBgAAAAAGAAYAWQEAAFg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w:t>
                    </w:r>
                    <w:r>
                      <w:rPr>
                        <w:color w:val="000000"/>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0" distR="0" simplePos="0" relativeHeight="251659264" behindDoc="1" locked="0" layoutInCell="0" allowOverlap="1">
              <wp:simplePos x="0" y="0"/>
              <wp:positionH relativeFrom="margin">
                <wp:align>center</wp:align>
              </wp:positionH>
              <wp:positionV relativeFrom="paragraph">
                <wp:posOffset>635</wp:posOffset>
              </wp:positionV>
              <wp:extent cx="1829435" cy="165100"/>
              <wp:effectExtent l="0" t="0" r="0" b="0"/>
              <wp:wrapNone/>
              <wp:docPr id="5" name="文本框 3"/>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p>
                      </w:txbxContent>
                    </wps:txbx>
                    <wps:bodyPr lIns="0" tIns="0" rIns="0" bIns="0">
                      <a:spAutoFit/>
                    </wps:bodyPr>
                  </wps:wsp>
                </a:graphicData>
              </a:graphic>
            </wp:anchor>
          </w:drawing>
        </mc:Choice>
        <mc:Fallback>
          <w:pict>
            <v:rect id="文本框 3" o:spid="_x0000_s1026" o:spt="1" style="position:absolute;left:0pt;margin-top:0.05pt;height:13pt;width:144.05pt;mso-position-horizontal:center;mso-position-horizontal-relative:margin;z-index:-251657216;mso-width-relative:page;mso-height-relative:page;" filled="f" stroked="f" coordsize="21600,21600" o:allowincell="f" o:gfxdata="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Zgjr7TAAAABAEAAA8AAAAAAAAAAQAgAAAAIgAAAGRycy9kb3ducmV2LnhtbFBL&#10;AQIUABQAAAAIAIdO4kD/i/TiwgEAAH8DAAAOAAAAAAAAAAEAIAAAACIBAABkcnMvZTJvRG9jLnht&#10;bFBLBQYAAAAABgAGAFkBAABWBQAAAAA=&#10;">
              <v:fill on="f" focussize="0,0"/>
              <v:stroke on="f" weight="0.5pt"/>
              <v:imagedata o:title=""/>
              <o:lock v:ext="edit" aspectratio="f"/>
              <v:textbox inset="0mm,0mm,0mm,0mm" style="mso-fit-shape-to-text:t;">
                <w:txbxContent>
                  <w:p>
                    <w:pPr>
                      <w:pStyle w:val="24"/>
                      <w:rPr>
                        <w:color w:val="000000"/>
                      </w:rPr>
                    </w:pPr>
                  </w:p>
                </w:txbxContent>
              </v:textbox>
            </v:rect>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4"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6855" w:firstLine="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auto"/>
      <w:ind w:left="6857" w:firstLine="0"/>
      <w:rPr>
        <w:rFonts w:ascii="宋体" w:hAnsi="宋体" w:eastAsia="宋体" w:cs="宋体"/>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6868" w:firstLine="0"/>
      <w:rPr>
        <w:rFonts w:ascii="宋体" w:hAnsi="宋体" w:eastAsia="宋体" w:cs="宋体"/>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7" name="文本框 19"/>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wps:txbx>
                    <wps:bodyPr lIns="0" tIns="0" rIns="0" bIns="0">
                      <a:spAutoFit/>
                    </wps:bodyPr>
                  </wps:wsp>
                </a:graphicData>
              </a:graphic>
            </wp:anchor>
          </w:drawing>
        </mc:Choice>
        <mc:Fallback>
          <w:pict>
            <v:rect id="文本框 19"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CaJ6QjwwEAAIADAAAOAAAAAAAAAAEAIAAAACQBAABkcnMvZTJvRG9j&#10;LnhtbFBLBQYAAAAABgAGAFkBAABZ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8</w:t>
                    </w:r>
                    <w:r>
                      <w:rPr>
                        <w:color w:val="000000"/>
                      </w:rPr>
                      <w:fldChar w:fldCharType="end"/>
                    </w:r>
                  </w:p>
                </w:txbxContent>
              </v:textbox>
            </v:rect>
          </w:pict>
        </mc:Fallback>
      </mc:AlternateContent>
    </w:r>
  </w:p>
  <w:p>
    <w:pPr>
      <w:pStyle w:val="2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1" name="文本框 75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wps:txbx>
                    <wps:bodyPr lIns="0" tIns="0" rIns="0" bIns="0">
                      <a:spAutoFit/>
                    </wps:bodyPr>
                  </wps:wsp>
                </a:graphicData>
              </a:graphic>
            </wp:anchor>
          </w:drawing>
        </mc:Choice>
        <mc:Fallback>
          <w:pict>
            <v:rect id="文本框 75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v6+6MxgEAAIMDAAAOAAAAAAAAAAEAIAAAACQBAABkcnMvZTJv&#10;RG9jLnhtbFBLBQYAAAAABgAGAFkBAABcBQ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103</w:t>
                    </w:r>
                    <w:r>
                      <w:rPr>
                        <w:color w:val="000000"/>
                      </w:rPr>
                      <w:fldChar w:fldCharType="end"/>
                    </w:r>
                  </w:p>
                </w:txbxContent>
              </v:textbox>
            </v:rect>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83" name="文本框 92_1"/>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wps:txbx>
                    <wps:bodyPr lIns="0" tIns="0" rIns="0" bIns="0">
                      <a:spAutoFit/>
                    </wps:bodyPr>
                  </wps:wsp>
                </a:graphicData>
              </a:graphic>
            </wp:anchor>
          </w:drawing>
        </mc:Choice>
        <mc:Fallback>
          <w:pict>
            <v:rect id="文本框 92_1"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s0HPzVAAAABAEAAA8AAAAAAAAAAQAgAAAAIgAAAGRycy9kb3ducmV2&#10;LnhtbFBLAQIUABQAAAAIAIdO4kBLKnpsxgEAAIMDAAAOAAAAAAAAAAEAIAAAACQBAABkcnMvZTJv&#10;RG9jLnhtbFBLBQYAAAAABgAGAFkBAABcBQ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101</w:t>
                    </w:r>
                    <w:r>
                      <w:rPr>
                        <w:color w:val="000000"/>
                        <w:sz w:val="18"/>
                      </w:rPr>
                      <w:fldChar w:fldCharType="end"/>
                    </w:r>
                  </w:p>
                </w:txbxContent>
              </v:textbox>
            </v:rect>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rPr>
        <w:rFonts w:ascii="等线" w:hAnsi="等线" w:eastAsia="等线" w:cs="等线"/>
        <w:sz w:val="17"/>
        <w:szCs w:val="17"/>
      </w:rPr>
    </w:pPr>
    <w:r>
      <w:rPr>
        <w:rFonts w:eastAsia="等线" w:cs="等线"/>
        <w:sz w:val="17"/>
        <w:szCs w:val="17"/>
      </w:rP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3" name="文本框 75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wps:txbx>
                    <wps:bodyPr lIns="0" tIns="0" rIns="0" bIns="0">
                      <a:spAutoFit/>
                    </wps:bodyPr>
                  </wps:wsp>
                </a:graphicData>
              </a:graphic>
            </wp:anchor>
          </w:drawing>
        </mc:Choice>
        <mc:Fallback>
          <w:pict>
            <v:rect id="文本框 75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7NBz81QAAAAQBAAAPAAAAAAAAAAEAIAAAACIAAABkcnMvZG93bnJl&#10;di54bWxQSwECFAAUAAAACACHTuJAxm2JYscBAACDAwAADgAAAAAAAAABACAAAAAkAQAAZHJzL2Uy&#10;b0RvYy54bWxQSwUGAAAAAAYABgBZAQAAXQUAAAAA&#10;">
              <v:fill on="f" focussize="0,0"/>
              <v:stroke on="f" weight="0.5pt"/>
              <v:imagedata o:title=""/>
              <o:lock v:ext="edit" aspectratio="f"/>
              <v:textbox inset="0mm,0mm,0mm,0mm" style="mso-fit-shape-to-text:t;">
                <w:txbxContent>
                  <w:p>
                    <w:pPr>
                      <w:pStyle w:val="24"/>
                      <w:rPr>
                        <w:color w:val="000000"/>
                      </w:rPr>
                    </w:pPr>
                    <w:r>
                      <w:rPr>
                        <w:color w:val="000000"/>
                      </w:rPr>
                      <w:fldChar w:fldCharType="begin"/>
                    </w:r>
                    <w:r>
                      <w:rPr>
                        <w:color w:val="000000"/>
                      </w:rPr>
                      <w:instrText xml:space="preserve">PAGE</w:instrText>
                    </w:r>
                    <w:r>
                      <w:rPr>
                        <w:color w:val="000000"/>
                      </w:rPr>
                      <w:fldChar w:fldCharType="separate"/>
                    </w:r>
                    <w:r>
                      <w:rPr>
                        <w:rFonts w:eastAsia="宋体"/>
                        <w:color w:val="000000"/>
                      </w:rPr>
                      <w:t>108</w:t>
                    </w:r>
                    <w:r>
                      <w:rPr>
                        <w:color w:val="000000"/>
                      </w:rPr>
                      <w:fldChar w:fldCharType="end"/>
                    </w:r>
                  </w:p>
                </w:txbxContent>
              </v:textbox>
            </v:rect>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5" name="文本框 92_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wps:txbx>
                    <wps:bodyPr lIns="0" tIns="0" rIns="0" bIns="0">
                      <a:spAutoFit/>
                    </wps:bodyPr>
                  </wps:wsp>
                </a:graphicData>
              </a:graphic>
            </wp:anchor>
          </w:drawing>
        </mc:Choice>
        <mc:Fallback>
          <w:pict>
            <v:rect id="文本框 92_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zQc/NUAAAAEAQAADwAAAAAAAAABACAAAAAiAAAAZHJzL2Rvd25yZXYu&#10;eG1sUEsBAhQAFAAAAAgAh07iQB2Cr/bFAQAAgwMAAA4AAAAAAAAAAQAgAAAAJAEAAGRycy9lMm9E&#10;b2MueG1sUEsFBgAAAAAGAAYAWQEAAFs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104</w:t>
                    </w:r>
                    <w:r>
                      <w:rPr>
                        <w:color w:val="000000"/>
                        <w:sz w:val="18"/>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9" name="文本框 2"/>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wps:txbx>
                    <wps:bodyPr lIns="0" tIns="0" rIns="0" bIns="0">
                      <a:spAutoFit/>
                    </wps:bodyPr>
                  </wps:wsp>
                </a:graphicData>
              </a:graphic>
            </wp:anchor>
          </w:drawing>
        </mc:Choice>
        <mc:Fallback>
          <w:pict>
            <v:rect id="文本框 2"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zQc/NUAAAAEAQAADwAAAAAAAAABACAAAAAiAAAAZHJzL2Rvd25yZXYueG1s&#10;UEsBAhQAFAAAAAgAh07iQHbxMdvCAQAAfwMAAA4AAAAAAAAAAQAgAAAAJAEAAGRycy9lMm9Eb2Mu&#10;eG1sUEsFBgAAAAAGAAYAWQEAAFgFAAAAAA==&#10;">
              <v:fill on="f" focussize="0,0"/>
              <v:stroke on="f" weight="0.5pt"/>
              <v:imagedata o:title=""/>
              <o:lock v:ext="edit" aspectratio="f"/>
              <v:textbox inset="0mm,0mm,0mm,0mm" style="mso-fit-shape-to-text:t;">
                <w:txbxContent>
                  <w:p>
                    <w:pPr>
                      <w:pStyle w:val="139"/>
                      <w:snapToGrid w:val="0"/>
                      <w:rPr>
                        <w:sz w:val="18"/>
                      </w:rPr>
                    </w:pPr>
                    <w:r>
                      <w:rPr>
                        <w:color w:val="000000"/>
                        <w:sz w:val="18"/>
                      </w:rPr>
                      <w:fldChar w:fldCharType="begin"/>
                    </w:r>
                    <w:r>
                      <w:rPr>
                        <w:color w:val="000000"/>
                        <w:sz w:val="18"/>
                      </w:rPr>
                      <w:instrText xml:space="preserve">PAGE</w:instrText>
                    </w:r>
                    <w:r>
                      <w:rPr>
                        <w:color w:val="000000"/>
                        <w:sz w:val="18"/>
                      </w:rPr>
                      <w:fldChar w:fldCharType="separate"/>
                    </w:r>
                    <w:r>
                      <w:rPr>
                        <w:rFonts w:eastAsia="宋体"/>
                        <w:color w:val="000000"/>
                        <w:sz w:val="18"/>
                      </w:rPr>
                      <w:t>14</w:t>
                    </w:r>
                    <w:r>
                      <w:rPr>
                        <w:color w:val="000000"/>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59264" behindDoc="0" locked="0" layoutInCell="0" allowOverlap="1">
              <wp:simplePos x="0" y="0"/>
              <wp:positionH relativeFrom="margin">
                <wp:align>center</wp:align>
              </wp:positionH>
              <wp:positionV relativeFrom="paragraph">
                <wp:posOffset>0</wp:posOffset>
              </wp:positionV>
              <wp:extent cx="1829435" cy="165100"/>
              <wp:effectExtent l="0" t="0" r="0" b="0"/>
              <wp:wrapNone/>
              <wp:docPr id="11"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59264;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Dxc7zJwwEAAIIDAAAOAAAAAAAAAAEAIAAAACQBAABkcnMvZTJvRG9j&#10;LnhtbFBLBQYAAAAABgAGAFkBAABZBQAAAAA=&#10;">
              <v:fill on="f" focussize="0,0"/>
              <v:stroke on="f" weight="0.5pt"/>
              <v:imagedata o:title=""/>
              <o:lock v:ext="edit" aspectratio="f"/>
              <v:textbox inset="0mm,0mm,0mm,0mm" style="mso-fit-shape-to-text:t;">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0" distR="0" simplePos="0" relativeHeight="251661312" behindDoc="0" locked="0" layoutInCell="0" allowOverlap="1">
              <wp:simplePos x="0" y="0"/>
              <wp:positionH relativeFrom="margin">
                <wp:align>center</wp:align>
              </wp:positionH>
              <wp:positionV relativeFrom="paragraph">
                <wp:posOffset>0</wp:posOffset>
              </wp:positionV>
              <wp:extent cx="1829435" cy="165100"/>
              <wp:effectExtent l="0" t="0" r="0" b="0"/>
              <wp:wrapNone/>
              <wp:docPr id="13" name="文本框 2_0"/>
              <wp:cNvGraphicFramePr/>
              <a:graphic xmlns:a="http://schemas.openxmlformats.org/drawingml/2006/main">
                <a:graphicData uri="http://schemas.microsoft.com/office/word/2010/wordprocessingShape">
                  <wps:wsp>
                    <wps:cNvSpPr/>
                    <wps:spPr>
                      <a:xfrm>
                        <a:off x="0" y="0"/>
                        <a:ext cx="1828800" cy="16452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wps:txbx>
                    <wps:bodyPr lIns="0" tIns="0" rIns="0" bIns="0">
                      <a:spAutoFit/>
                    </wps:bodyPr>
                  </wps:wsp>
                </a:graphicData>
              </a:graphic>
            </wp:anchor>
          </w:drawing>
        </mc:Choice>
        <mc:Fallback>
          <w:pict>
            <v:rect id="文本框 2_0" o:spid="_x0000_s1026" o:spt="1" style="position:absolute;left:0pt;margin-top:0pt;height:13pt;width:144.05pt;mso-position-horizontal:center;mso-position-horizontal-relative:margin;z-index:251661312;mso-width-relative:page;mso-height-relative:page;" filled="f" stroked="f" coordsize="21600,21600" o:allowincell="f" o:gfxdata="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s0HPzVAAAABAEAAA8AAAAAAAAAAQAgAAAAIgAAAGRycy9kb3ducmV2Lnht&#10;bFBLAQIUABQAAAAIAIdO4kAQwvolwwEAAIIDAAAOAAAAAAAAAAEAIAAAACQBAABkcnMvZTJvRG9j&#10;LnhtbFBLBQYAAAAABgAGAFkBAABZBQAAAAA=&#10;">
              <v:fill on="f" focussize="0,0"/>
              <v:stroke on="f" weight="0.5pt"/>
              <v:imagedata o:title=""/>
              <o:lock v:ext="edit" aspectratio="f"/>
              <v:textbox inset="0mm,0mm,0mm,0mm" style="mso-fit-shape-to-text:t;">
                <w:txbxContent>
                  <w:p>
                    <w:pPr>
                      <w:pStyle w:val="139"/>
                      <w:snapToGrid w:val="0"/>
                      <w:jc w:val="center"/>
                      <w:rPr>
                        <w:sz w:val="18"/>
                      </w:rPr>
                    </w:pPr>
                    <w:r>
                      <w:rPr>
                        <w:color w:val="000000"/>
                        <w:sz w:val="21"/>
                        <w:szCs w:val="28"/>
                      </w:rPr>
                      <w:fldChar w:fldCharType="begin"/>
                    </w:r>
                    <w:r>
                      <w:rPr>
                        <w:color w:val="000000"/>
                        <w:sz w:val="21"/>
                        <w:szCs w:val="28"/>
                      </w:rPr>
                      <w:instrText xml:space="preserve">PAGE</w:instrText>
                    </w:r>
                    <w:r>
                      <w:rPr>
                        <w:color w:val="000000"/>
                        <w:sz w:val="21"/>
                        <w:szCs w:val="28"/>
                      </w:rPr>
                      <w:fldChar w:fldCharType="separate"/>
                    </w:r>
                    <w:r>
                      <w:rPr>
                        <w:rFonts w:eastAsia="宋体"/>
                        <w:color w:val="000000"/>
                        <w:sz w:val="21"/>
                        <w:szCs w:val="28"/>
                      </w:rPr>
                      <w:t>17</w:t>
                    </w:r>
                    <w:r>
                      <w:rPr>
                        <w:color w:val="000000"/>
                        <w:sz w:val="21"/>
                        <w:szCs w:val="28"/>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- 49 -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rPr>
                              <w:rFonts w:eastAsia="宋体"/>
                            </w:rP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rPr>
                        <w:rFonts w:eastAsia="宋体"/>
                      </w:rPr>
                      <w:t>51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7D2D34"/>
    <w:multiLevelType w:val="singleLevel"/>
    <w:tmpl w:val="827D2D34"/>
    <w:lvl w:ilvl="0" w:tentative="0">
      <w:start w:val="1"/>
      <w:numFmt w:val="decimal"/>
      <w:suff w:val="nothing"/>
      <w:lvlText w:val="（%1）"/>
      <w:lvlJc w:val="left"/>
    </w:lvl>
  </w:abstractNum>
  <w:abstractNum w:abstractNumId="1">
    <w:nsid w:val="AEC7EB49"/>
    <w:multiLevelType w:val="multilevel"/>
    <w:tmpl w:val="AEC7EB49"/>
    <w:lvl w:ilvl="0" w:tentative="0">
      <w:start w:val="2"/>
      <w:numFmt w:val="taiwaneseCountingThousand"/>
      <w:suff w:val="nothing"/>
      <w:lvlText w:val="%1、"/>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C9930489"/>
    <w:multiLevelType w:val="singleLevel"/>
    <w:tmpl w:val="C9930489"/>
    <w:lvl w:ilvl="0" w:tentative="0">
      <w:start w:val="1"/>
      <w:numFmt w:val="decimal"/>
      <w:lvlText w:val="(%1)"/>
      <w:lvlJc w:val="left"/>
      <w:pPr>
        <w:tabs>
          <w:tab w:val="left" w:pos="420"/>
        </w:tabs>
        <w:ind w:left="845" w:hanging="425"/>
      </w:pPr>
      <w:rPr>
        <w:rFonts w:hint="default"/>
      </w:rPr>
    </w:lvl>
  </w:abstractNum>
  <w:abstractNum w:abstractNumId="4">
    <w:nsid w:val="D5BEEC44"/>
    <w:multiLevelType w:val="multilevel"/>
    <w:tmpl w:val="D5BEEC44"/>
    <w:lvl w:ilvl="0" w:tentative="0">
      <w:start w:val="1"/>
      <w:numFmt w:val="taiwaneseCountingThousand"/>
      <w:suff w:val="space"/>
      <w:lvlText w:val="第%1部分"/>
      <w:lvlJc w:val="left"/>
      <w:pPr>
        <w:tabs>
          <w:tab w:val="left" w:pos="0"/>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E5BF5AC4"/>
    <w:multiLevelType w:val="multilevel"/>
    <w:tmpl w:val="E5BF5AC4"/>
    <w:lvl w:ilvl="0" w:tentative="0">
      <w:start w:val="1"/>
      <w:numFmt w:val="lowerLetter"/>
      <w:lvlText w:val="%1)"/>
      <w:lvlJc w:val="left"/>
      <w:pPr>
        <w:tabs>
          <w:tab w:val="left" w:pos="0"/>
        </w:tabs>
        <w:ind w:left="902" w:hanging="420"/>
      </w:pPr>
      <w:rPr>
        <w:rFonts w:cs="Times New Roman"/>
      </w:rPr>
    </w:lvl>
    <w:lvl w:ilvl="1" w:tentative="0">
      <w:start w:val="1"/>
      <w:numFmt w:val="lowerLetter"/>
      <w:lvlText w:val="%2)"/>
      <w:lvlJc w:val="left"/>
      <w:pPr>
        <w:tabs>
          <w:tab w:val="left" w:pos="0"/>
        </w:tabs>
        <w:ind w:left="1322" w:hanging="420"/>
      </w:pPr>
      <w:rPr>
        <w:rFonts w:cs="Times New Roman"/>
      </w:rPr>
    </w:lvl>
    <w:lvl w:ilvl="2" w:tentative="0">
      <w:start w:val="1"/>
      <w:numFmt w:val="lowerRoman"/>
      <w:lvlText w:val="%3."/>
      <w:lvlJc w:val="right"/>
      <w:pPr>
        <w:tabs>
          <w:tab w:val="left" w:pos="0"/>
        </w:tabs>
        <w:ind w:left="1742" w:hanging="420"/>
      </w:pPr>
      <w:rPr>
        <w:rFonts w:cs="Times New Roman"/>
      </w:rPr>
    </w:lvl>
    <w:lvl w:ilvl="3" w:tentative="0">
      <w:start w:val="1"/>
      <w:numFmt w:val="decimal"/>
      <w:lvlText w:val="%4."/>
      <w:lvlJc w:val="left"/>
      <w:pPr>
        <w:tabs>
          <w:tab w:val="left" w:pos="0"/>
        </w:tabs>
        <w:ind w:left="2162" w:hanging="420"/>
      </w:pPr>
      <w:rPr>
        <w:rFonts w:cs="Times New Roman"/>
      </w:rPr>
    </w:lvl>
    <w:lvl w:ilvl="4" w:tentative="0">
      <w:start w:val="1"/>
      <w:numFmt w:val="lowerLetter"/>
      <w:lvlText w:val="%5)"/>
      <w:lvlJc w:val="left"/>
      <w:pPr>
        <w:tabs>
          <w:tab w:val="left" w:pos="0"/>
        </w:tabs>
        <w:ind w:left="2582" w:hanging="420"/>
      </w:pPr>
      <w:rPr>
        <w:rFonts w:cs="Times New Roman"/>
      </w:rPr>
    </w:lvl>
    <w:lvl w:ilvl="5" w:tentative="0">
      <w:start w:val="1"/>
      <w:numFmt w:val="lowerRoman"/>
      <w:lvlText w:val="%6."/>
      <w:lvlJc w:val="right"/>
      <w:pPr>
        <w:tabs>
          <w:tab w:val="left" w:pos="0"/>
        </w:tabs>
        <w:ind w:left="3002" w:hanging="420"/>
      </w:pPr>
      <w:rPr>
        <w:rFonts w:cs="Times New Roman"/>
      </w:rPr>
    </w:lvl>
    <w:lvl w:ilvl="6" w:tentative="0">
      <w:start w:val="1"/>
      <w:numFmt w:val="decimal"/>
      <w:lvlText w:val="%7."/>
      <w:lvlJc w:val="left"/>
      <w:pPr>
        <w:tabs>
          <w:tab w:val="left" w:pos="0"/>
        </w:tabs>
        <w:ind w:left="3422" w:hanging="420"/>
      </w:pPr>
      <w:rPr>
        <w:rFonts w:cs="Times New Roman"/>
      </w:rPr>
    </w:lvl>
    <w:lvl w:ilvl="7" w:tentative="0">
      <w:start w:val="1"/>
      <w:numFmt w:val="lowerLetter"/>
      <w:lvlText w:val="%8)"/>
      <w:lvlJc w:val="left"/>
      <w:pPr>
        <w:tabs>
          <w:tab w:val="left" w:pos="0"/>
        </w:tabs>
        <w:ind w:left="3842" w:hanging="420"/>
      </w:pPr>
      <w:rPr>
        <w:rFonts w:cs="Times New Roman"/>
      </w:rPr>
    </w:lvl>
    <w:lvl w:ilvl="8" w:tentative="0">
      <w:start w:val="1"/>
      <w:numFmt w:val="lowerRoman"/>
      <w:lvlText w:val="%9."/>
      <w:lvlJc w:val="right"/>
      <w:pPr>
        <w:tabs>
          <w:tab w:val="left" w:pos="0"/>
        </w:tabs>
        <w:ind w:left="4262" w:hanging="420"/>
      </w:pPr>
      <w:rPr>
        <w:rFonts w:cs="Times New Roman"/>
      </w:rPr>
    </w:lvl>
  </w:abstractNum>
  <w:abstractNum w:abstractNumId="6">
    <w:nsid w:val="F3FF5F86"/>
    <w:multiLevelType w:val="multilevel"/>
    <w:tmpl w:val="F3FF5F86"/>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8">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9">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0">
    <w:nsid w:val="00BFAC75"/>
    <w:multiLevelType w:val="singleLevel"/>
    <w:tmpl w:val="00BFAC75"/>
    <w:lvl w:ilvl="0" w:tentative="0">
      <w:start w:val="1"/>
      <w:numFmt w:val="decimal"/>
      <w:lvlText w:val="(%1)"/>
      <w:lvlJc w:val="left"/>
      <w:pPr>
        <w:tabs>
          <w:tab w:val="left" w:pos="420"/>
        </w:tabs>
        <w:ind w:left="845" w:hanging="425"/>
      </w:pPr>
      <w:rPr>
        <w:rFonts w:hint="default"/>
      </w:rPr>
    </w:lvl>
  </w:abstractNum>
  <w:abstractNum w:abstractNumId="11">
    <w:nsid w:val="3BCEE5E1"/>
    <w:multiLevelType w:val="multilevel"/>
    <w:tmpl w:val="3BCEE5E1"/>
    <w:lvl w:ilvl="0" w:tentative="0">
      <w:start w:val="2"/>
      <w:numFmt w:val="decimal"/>
      <w:lvlText w:val="%1."/>
      <w:lvlJc w:val="left"/>
      <w:pPr>
        <w:tabs>
          <w:tab w:val="left" w:pos="312"/>
        </w:tabs>
        <w:ind w:left="0" w:firstLine="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2">
    <w:nsid w:val="42D8364E"/>
    <w:multiLevelType w:val="multilevel"/>
    <w:tmpl w:val="42D8364E"/>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3">
    <w:nsid w:val="5A5C101A"/>
    <w:multiLevelType w:val="singleLevel"/>
    <w:tmpl w:val="5A5C101A"/>
    <w:lvl w:ilvl="0" w:tentative="0">
      <w:start w:val="1"/>
      <w:numFmt w:val="chineseCounting"/>
      <w:suff w:val="nothing"/>
      <w:lvlText w:val="%1、"/>
      <w:lvlJc w:val="left"/>
      <w:rPr>
        <w:rFonts w:hint="eastAsia"/>
      </w:rPr>
    </w:lvl>
  </w:abstractNum>
  <w:abstractNum w:abstractNumId="14">
    <w:nsid w:val="7CE230D6"/>
    <w:multiLevelType w:val="multilevel"/>
    <w:tmpl w:val="7CE230D6"/>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0"/>
  </w:num>
  <w:num w:numId="3">
    <w:abstractNumId w:val="1"/>
  </w:num>
  <w:num w:numId="4">
    <w:abstractNumId w:val="11"/>
  </w:num>
  <w:num w:numId="5">
    <w:abstractNumId w:val="5"/>
  </w:num>
  <w:num w:numId="6">
    <w:abstractNumId w:val="9"/>
  </w:num>
  <w:num w:numId="7">
    <w:abstractNumId w:val="8"/>
  </w:num>
  <w:num w:numId="8">
    <w:abstractNumId w:val="6"/>
  </w:num>
  <w:num w:numId="9">
    <w:abstractNumId w:val="2"/>
  </w:num>
  <w:num w:numId="10">
    <w:abstractNumId w:val="14"/>
  </w:num>
  <w:num w:numId="11">
    <w:abstractNumId w:val="3"/>
  </w:num>
  <w:num w:numId="12">
    <w:abstractNumId w:val="10"/>
  </w:num>
  <w:num w:numId="13">
    <w:abstractNumId w:val="13"/>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autoHyphenation/>
  <w:displayHorizontalDrawingGridEvery w:val="1"/>
  <w:displayVerticalDrawingGridEvery w:val="1"/>
  <w:noPunctuationKerning w:val="1"/>
  <w:footnotePr>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mMWZlZDJlODVmODk4NzE2MTdjNDdmOGFmZDcyNGYifQ=="/>
    <w:docVar w:name="KSO_WPS_MARK_KEY" w:val="fe846fb3-363f-4307-9758-bc94f2b1f898"/>
  </w:docVars>
  <w:rsids>
    <w:rsidRoot w:val="00000000"/>
    <w:rsid w:val="000C024B"/>
    <w:rsid w:val="002C61F7"/>
    <w:rsid w:val="00327CB1"/>
    <w:rsid w:val="00351550"/>
    <w:rsid w:val="0035726D"/>
    <w:rsid w:val="00586FEC"/>
    <w:rsid w:val="005D7706"/>
    <w:rsid w:val="00985ABA"/>
    <w:rsid w:val="00AE4E5E"/>
    <w:rsid w:val="00B72C32"/>
    <w:rsid w:val="00BA0215"/>
    <w:rsid w:val="00DC7C1D"/>
    <w:rsid w:val="00E46AD2"/>
    <w:rsid w:val="00EA058C"/>
    <w:rsid w:val="01017684"/>
    <w:rsid w:val="010D7DD7"/>
    <w:rsid w:val="01170C55"/>
    <w:rsid w:val="012C1D85"/>
    <w:rsid w:val="01371E89"/>
    <w:rsid w:val="013D501C"/>
    <w:rsid w:val="01536131"/>
    <w:rsid w:val="0179546C"/>
    <w:rsid w:val="017B7436"/>
    <w:rsid w:val="01A3659A"/>
    <w:rsid w:val="01C0309B"/>
    <w:rsid w:val="01CE3A0A"/>
    <w:rsid w:val="01CF7782"/>
    <w:rsid w:val="01F85833"/>
    <w:rsid w:val="02511F45"/>
    <w:rsid w:val="02B20C36"/>
    <w:rsid w:val="02F2197A"/>
    <w:rsid w:val="02FF7BF3"/>
    <w:rsid w:val="0371289F"/>
    <w:rsid w:val="038B3937"/>
    <w:rsid w:val="03EF7C67"/>
    <w:rsid w:val="042851DE"/>
    <w:rsid w:val="044163B3"/>
    <w:rsid w:val="04DE21B6"/>
    <w:rsid w:val="04E51C95"/>
    <w:rsid w:val="05597A8E"/>
    <w:rsid w:val="05676974"/>
    <w:rsid w:val="05A625A8"/>
    <w:rsid w:val="05DE0ECC"/>
    <w:rsid w:val="05E05ABA"/>
    <w:rsid w:val="05EC26B0"/>
    <w:rsid w:val="060C4B01"/>
    <w:rsid w:val="06367DD0"/>
    <w:rsid w:val="066A3110"/>
    <w:rsid w:val="067803E8"/>
    <w:rsid w:val="06A87B6A"/>
    <w:rsid w:val="06B43D0A"/>
    <w:rsid w:val="06D27AF8"/>
    <w:rsid w:val="06EB0BBA"/>
    <w:rsid w:val="06ED4932"/>
    <w:rsid w:val="07104A12"/>
    <w:rsid w:val="071D4AEC"/>
    <w:rsid w:val="072B052C"/>
    <w:rsid w:val="07470275"/>
    <w:rsid w:val="07552626"/>
    <w:rsid w:val="075F6EB2"/>
    <w:rsid w:val="07843CB7"/>
    <w:rsid w:val="079F6AE2"/>
    <w:rsid w:val="07A1571D"/>
    <w:rsid w:val="07AE50AB"/>
    <w:rsid w:val="07C02047"/>
    <w:rsid w:val="07C1191B"/>
    <w:rsid w:val="07CD242F"/>
    <w:rsid w:val="07CD4764"/>
    <w:rsid w:val="07E31891"/>
    <w:rsid w:val="07F10452"/>
    <w:rsid w:val="0822685D"/>
    <w:rsid w:val="084B781B"/>
    <w:rsid w:val="08600C54"/>
    <w:rsid w:val="0878116D"/>
    <w:rsid w:val="08840A76"/>
    <w:rsid w:val="08935065"/>
    <w:rsid w:val="089555FD"/>
    <w:rsid w:val="089C68DA"/>
    <w:rsid w:val="089F7EAE"/>
    <w:rsid w:val="08A31B20"/>
    <w:rsid w:val="08B82D1E"/>
    <w:rsid w:val="08BD20E2"/>
    <w:rsid w:val="08D12032"/>
    <w:rsid w:val="08F301FA"/>
    <w:rsid w:val="08FA3336"/>
    <w:rsid w:val="090146C5"/>
    <w:rsid w:val="092C7268"/>
    <w:rsid w:val="09412D13"/>
    <w:rsid w:val="098175B4"/>
    <w:rsid w:val="09AB2883"/>
    <w:rsid w:val="09BE25B6"/>
    <w:rsid w:val="0A2543E3"/>
    <w:rsid w:val="0A692DA2"/>
    <w:rsid w:val="0A7F6606"/>
    <w:rsid w:val="0A8F7AAE"/>
    <w:rsid w:val="0A985EDF"/>
    <w:rsid w:val="0ADC3A6D"/>
    <w:rsid w:val="0AEC54C8"/>
    <w:rsid w:val="0B5D29A1"/>
    <w:rsid w:val="0B7471EA"/>
    <w:rsid w:val="0BB9535D"/>
    <w:rsid w:val="0BEA7692"/>
    <w:rsid w:val="0BEC0413"/>
    <w:rsid w:val="0BF91683"/>
    <w:rsid w:val="0C006EB6"/>
    <w:rsid w:val="0C2661F0"/>
    <w:rsid w:val="0C395F24"/>
    <w:rsid w:val="0C5B40EC"/>
    <w:rsid w:val="0C5C1C12"/>
    <w:rsid w:val="0C6805B7"/>
    <w:rsid w:val="0C6A568B"/>
    <w:rsid w:val="0C9847BD"/>
    <w:rsid w:val="0C9B273A"/>
    <w:rsid w:val="0CA75583"/>
    <w:rsid w:val="0CC057AF"/>
    <w:rsid w:val="0CDD2D53"/>
    <w:rsid w:val="0CE27EE0"/>
    <w:rsid w:val="0D15073F"/>
    <w:rsid w:val="0D1B36B3"/>
    <w:rsid w:val="0D305579"/>
    <w:rsid w:val="0D3F756A"/>
    <w:rsid w:val="0D4224E0"/>
    <w:rsid w:val="0D4A5E8C"/>
    <w:rsid w:val="0D4E59FF"/>
    <w:rsid w:val="0D927FE1"/>
    <w:rsid w:val="0DA25129"/>
    <w:rsid w:val="0DAB2E51"/>
    <w:rsid w:val="0DB853E2"/>
    <w:rsid w:val="0DC53787"/>
    <w:rsid w:val="0DEF4AA1"/>
    <w:rsid w:val="0DFE11D3"/>
    <w:rsid w:val="0E060087"/>
    <w:rsid w:val="0E2D7D0A"/>
    <w:rsid w:val="0E4A08BC"/>
    <w:rsid w:val="0E8518F4"/>
    <w:rsid w:val="0E855450"/>
    <w:rsid w:val="0E8D2557"/>
    <w:rsid w:val="0EB96B98"/>
    <w:rsid w:val="0EC57F43"/>
    <w:rsid w:val="0EC73137"/>
    <w:rsid w:val="0F281170"/>
    <w:rsid w:val="0F470958"/>
    <w:rsid w:val="0F73799F"/>
    <w:rsid w:val="0F8A2F6F"/>
    <w:rsid w:val="0F9811B3"/>
    <w:rsid w:val="0FA1450C"/>
    <w:rsid w:val="0FD6408A"/>
    <w:rsid w:val="0FE20680"/>
    <w:rsid w:val="0FEA282E"/>
    <w:rsid w:val="10022AD1"/>
    <w:rsid w:val="10735D19"/>
    <w:rsid w:val="10771710"/>
    <w:rsid w:val="107F2670"/>
    <w:rsid w:val="10A66DCB"/>
    <w:rsid w:val="10B62239"/>
    <w:rsid w:val="10C32403"/>
    <w:rsid w:val="10F36FE9"/>
    <w:rsid w:val="11001706"/>
    <w:rsid w:val="11145FEB"/>
    <w:rsid w:val="111D0761"/>
    <w:rsid w:val="113B0990"/>
    <w:rsid w:val="117479FE"/>
    <w:rsid w:val="117C2E73"/>
    <w:rsid w:val="117D4B05"/>
    <w:rsid w:val="11867E5D"/>
    <w:rsid w:val="11BF511D"/>
    <w:rsid w:val="11CE710E"/>
    <w:rsid w:val="11CE7F85"/>
    <w:rsid w:val="11E84674"/>
    <w:rsid w:val="11E90706"/>
    <w:rsid w:val="11EE5A02"/>
    <w:rsid w:val="11FD0592"/>
    <w:rsid w:val="12097FE9"/>
    <w:rsid w:val="12170AB5"/>
    <w:rsid w:val="121865DB"/>
    <w:rsid w:val="1247062C"/>
    <w:rsid w:val="12575356"/>
    <w:rsid w:val="126B26FB"/>
    <w:rsid w:val="12704669"/>
    <w:rsid w:val="12855AA9"/>
    <w:rsid w:val="12A22DAA"/>
    <w:rsid w:val="12DC3AAD"/>
    <w:rsid w:val="12E9198D"/>
    <w:rsid w:val="12EB3CF0"/>
    <w:rsid w:val="13011428"/>
    <w:rsid w:val="130A061A"/>
    <w:rsid w:val="130F3E82"/>
    <w:rsid w:val="13374A88"/>
    <w:rsid w:val="1377447A"/>
    <w:rsid w:val="137E7601"/>
    <w:rsid w:val="13960100"/>
    <w:rsid w:val="139B74C4"/>
    <w:rsid w:val="13AC347F"/>
    <w:rsid w:val="13B658D7"/>
    <w:rsid w:val="13D97F0D"/>
    <w:rsid w:val="140B289C"/>
    <w:rsid w:val="14304CEF"/>
    <w:rsid w:val="148166BA"/>
    <w:rsid w:val="14AB1989"/>
    <w:rsid w:val="14BC5944"/>
    <w:rsid w:val="14C43496"/>
    <w:rsid w:val="153100E0"/>
    <w:rsid w:val="15361FA3"/>
    <w:rsid w:val="15394ADF"/>
    <w:rsid w:val="156234F8"/>
    <w:rsid w:val="15912BD7"/>
    <w:rsid w:val="15C87B19"/>
    <w:rsid w:val="160C6457"/>
    <w:rsid w:val="16151F87"/>
    <w:rsid w:val="162163A6"/>
    <w:rsid w:val="163559AE"/>
    <w:rsid w:val="16470173"/>
    <w:rsid w:val="16563E13"/>
    <w:rsid w:val="168224A3"/>
    <w:rsid w:val="169C77DB"/>
    <w:rsid w:val="16A71D6A"/>
    <w:rsid w:val="16AD3796"/>
    <w:rsid w:val="16D677E3"/>
    <w:rsid w:val="16E72D16"/>
    <w:rsid w:val="17147CB9"/>
    <w:rsid w:val="1720040C"/>
    <w:rsid w:val="17377504"/>
    <w:rsid w:val="175C5D77"/>
    <w:rsid w:val="176B1D6D"/>
    <w:rsid w:val="178001C1"/>
    <w:rsid w:val="17996410"/>
    <w:rsid w:val="17996BA7"/>
    <w:rsid w:val="17A32DEB"/>
    <w:rsid w:val="17A50911"/>
    <w:rsid w:val="17E01949"/>
    <w:rsid w:val="17F614A8"/>
    <w:rsid w:val="180F534D"/>
    <w:rsid w:val="18471533"/>
    <w:rsid w:val="186404DF"/>
    <w:rsid w:val="186B0848"/>
    <w:rsid w:val="18820C52"/>
    <w:rsid w:val="1882653B"/>
    <w:rsid w:val="189C07CD"/>
    <w:rsid w:val="18CB25F9"/>
    <w:rsid w:val="18EA56F8"/>
    <w:rsid w:val="1912394D"/>
    <w:rsid w:val="194B4A92"/>
    <w:rsid w:val="19550115"/>
    <w:rsid w:val="19865B4D"/>
    <w:rsid w:val="198E25D5"/>
    <w:rsid w:val="19B65058"/>
    <w:rsid w:val="19CA28B1"/>
    <w:rsid w:val="19F422B0"/>
    <w:rsid w:val="19FB0CBC"/>
    <w:rsid w:val="1A023DF9"/>
    <w:rsid w:val="1A0E09F0"/>
    <w:rsid w:val="1A22762A"/>
    <w:rsid w:val="1A39657D"/>
    <w:rsid w:val="1A6A7BF0"/>
    <w:rsid w:val="1A7B1DFD"/>
    <w:rsid w:val="1AA05E52"/>
    <w:rsid w:val="1ABF23C4"/>
    <w:rsid w:val="1AF56FA4"/>
    <w:rsid w:val="1AF60780"/>
    <w:rsid w:val="1B004B07"/>
    <w:rsid w:val="1B0E2C71"/>
    <w:rsid w:val="1B2D2CE5"/>
    <w:rsid w:val="1B3721C8"/>
    <w:rsid w:val="1B414DF5"/>
    <w:rsid w:val="1B4D19EC"/>
    <w:rsid w:val="1B4E722E"/>
    <w:rsid w:val="1B917B2A"/>
    <w:rsid w:val="1BE063BC"/>
    <w:rsid w:val="1BF32215"/>
    <w:rsid w:val="1BF43C15"/>
    <w:rsid w:val="1C0D4CD7"/>
    <w:rsid w:val="1C1A47D8"/>
    <w:rsid w:val="1C234AE6"/>
    <w:rsid w:val="1C4F3541"/>
    <w:rsid w:val="1C603A4B"/>
    <w:rsid w:val="1C876837"/>
    <w:rsid w:val="1C9F1DD3"/>
    <w:rsid w:val="1CE43C8A"/>
    <w:rsid w:val="1D091942"/>
    <w:rsid w:val="1D216C8C"/>
    <w:rsid w:val="1D226971"/>
    <w:rsid w:val="1D4806BC"/>
    <w:rsid w:val="1D6923CE"/>
    <w:rsid w:val="1DA578BD"/>
    <w:rsid w:val="1DBA3729"/>
    <w:rsid w:val="1DD8302E"/>
    <w:rsid w:val="1E450758"/>
    <w:rsid w:val="1E65704C"/>
    <w:rsid w:val="1E707ECB"/>
    <w:rsid w:val="1EA85480"/>
    <w:rsid w:val="1EFB350D"/>
    <w:rsid w:val="1F015BE8"/>
    <w:rsid w:val="1F252C36"/>
    <w:rsid w:val="1F50309A"/>
    <w:rsid w:val="1F6B23AB"/>
    <w:rsid w:val="1F824A45"/>
    <w:rsid w:val="1FB931AC"/>
    <w:rsid w:val="1FDB2819"/>
    <w:rsid w:val="1FE4482B"/>
    <w:rsid w:val="1FEC3E85"/>
    <w:rsid w:val="1FF42436"/>
    <w:rsid w:val="202C1BA1"/>
    <w:rsid w:val="20580C17"/>
    <w:rsid w:val="20656507"/>
    <w:rsid w:val="20983709"/>
    <w:rsid w:val="20C0056A"/>
    <w:rsid w:val="20C27F89"/>
    <w:rsid w:val="20D858B3"/>
    <w:rsid w:val="20DF30E6"/>
    <w:rsid w:val="210668C5"/>
    <w:rsid w:val="211D2ED8"/>
    <w:rsid w:val="213056EF"/>
    <w:rsid w:val="2172726B"/>
    <w:rsid w:val="217650FF"/>
    <w:rsid w:val="218B0B78"/>
    <w:rsid w:val="218E25A7"/>
    <w:rsid w:val="21B4104E"/>
    <w:rsid w:val="21B509BB"/>
    <w:rsid w:val="21FF50C2"/>
    <w:rsid w:val="221B014E"/>
    <w:rsid w:val="22205764"/>
    <w:rsid w:val="222B72CC"/>
    <w:rsid w:val="2237485C"/>
    <w:rsid w:val="227930C6"/>
    <w:rsid w:val="22793142"/>
    <w:rsid w:val="228850B7"/>
    <w:rsid w:val="22AF729F"/>
    <w:rsid w:val="22C2681B"/>
    <w:rsid w:val="22F4274D"/>
    <w:rsid w:val="22FD3CD9"/>
    <w:rsid w:val="22FE485F"/>
    <w:rsid w:val="23146088"/>
    <w:rsid w:val="231A34A5"/>
    <w:rsid w:val="232272BA"/>
    <w:rsid w:val="23312A20"/>
    <w:rsid w:val="233A4603"/>
    <w:rsid w:val="235356C5"/>
    <w:rsid w:val="235C0A1E"/>
    <w:rsid w:val="23671171"/>
    <w:rsid w:val="236C5C8D"/>
    <w:rsid w:val="2375388E"/>
    <w:rsid w:val="23B819CC"/>
    <w:rsid w:val="23E34C9B"/>
    <w:rsid w:val="23E80503"/>
    <w:rsid w:val="240F67B4"/>
    <w:rsid w:val="246C51B7"/>
    <w:rsid w:val="246C63AE"/>
    <w:rsid w:val="2493671A"/>
    <w:rsid w:val="24BB5FAF"/>
    <w:rsid w:val="24F15196"/>
    <w:rsid w:val="24FD5F3F"/>
    <w:rsid w:val="25341526"/>
    <w:rsid w:val="254F010E"/>
    <w:rsid w:val="25C44658"/>
    <w:rsid w:val="25CA73C4"/>
    <w:rsid w:val="25FA498E"/>
    <w:rsid w:val="260E7FC9"/>
    <w:rsid w:val="261A696E"/>
    <w:rsid w:val="2633160E"/>
    <w:rsid w:val="26413EBD"/>
    <w:rsid w:val="264D3A61"/>
    <w:rsid w:val="2672272D"/>
    <w:rsid w:val="269F0C21"/>
    <w:rsid w:val="26BB1632"/>
    <w:rsid w:val="26BB5A5B"/>
    <w:rsid w:val="27042C3A"/>
    <w:rsid w:val="275B2D9A"/>
    <w:rsid w:val="275D2FB6"/>
    <w:rsid w:val="2772720D"/>
    <w:rsid w:val="27897907"/>
    <w:rsid w:val="278A3680"/>
    <w:rsid w:val="27960276"/>
    <w:rsid w:val="27962024"/>
    <w:rsid w:val="27975A17"/>
    <w:rsid w:val="27B843BD"/>
    <w:rsid w:val="27BF77CD"/>
    <w:rsid w:val="27CE7A10"/>
    <w:rsid w:val="27DA63B5"/>
    <w:rsid w:val="27DB6BFB"/>
    <w:rsid w:val="27E85DA3"/>
    <w:rsid w:val="27FF406E"/>
    <w:rsid w:val="28101DD7"/>
    <w:rsid w:val="2854255B"/>
    <w:rsid w:val="2858552C"/>
    <w:rsid w:val="286839C1"/>
    <w:rsid w:val="28D220AC"/>
    <w:rsid w:val="292E4C0A"/>
    <w:rsid w:val="29A473B4"/>
    <w:rsid w:val="29DA08EE"/>
    <w:rsid w:val="2A273408"/>
    <w:rsid w:val="2A571F3F"/>
    <w:rsid w:val="2A643ED2"/>
    <w:rsid w:val="2A767767"/>
    <w:rsid w:val="2A783C63"/>
    <w:rsid w:val="2A7C3754"/>
    <w:rsid w:val="2A9E191C"/>
    <w:rsid w:val="2AA131BA"/>
    <w:rsid w:val="2AE6070B"/>
    <w:rsid w:val="2B0507DE"/>
    <w:rsid w:val="2B4029D3"/>
    <w:rsid w:val="2B445DF6"/>
    <w:rsid w:val="2BBD4024"/>
    <w:rsid w:val="2BBE1B4A"/>
    <w:rsid w:val="2C22657D"/>
    <w:rsid w:val="2C524910"/>
    <w:rsid w:val="2C553BEB"/>
    <w:rsid w:val="2C5C1A8E"/>
    <w:rsid w:val="2C656F25"/>
    <w:rsid w:val="2C792640"/>
    <w:rsid w:val="2C793392"/>
    <w:rsid w:val="2C942F95"/>
    <w:rsid w:val="2CB17B5A"/>
    <w:rsid w:val="2CDC672B"/>
    <w:rsid w:val="2CDF446E"/>
    <w:rsid w:val="2CF3493F"/>
    <w:rsid w:val="2D3B78F6"/>
    <w:rsid w:val="2D4E7F5A"/>
    <w:rsid w:val="2D595E5D"/>
    <w:rsid w:val="2D925870"/>
    <w:rsid w:val="2D962D7E"/>
    <w:rsid w:val="2D9D410D"/>
    <w:rsid w:val="2DBA2FCF"/>
    <w:rsid w:val="2DD67732"/>
    <w:rsid w:val="2DEC0BF0"/>
    <w:rsid w:val="2DF16206"/>
    <w:rsid w:val="2E0925B3"/>
    <w:rsid w:val="2E524093"/>
    <w:rsid w:val="2E587438"/>
    <w:rsid w:val="2E7073A6"/>
    <w:rsid w:val="2E80426C"/>
    <w:rsid w:val="2E8157DC"/>
    <w:rsid w:val="2E943BD6"/>
    <w:rsid w:val="2E9C2616"/>
    <w:rsid w:val="2EB37F61"/>
    <w:rsid w:val="2EC67693"/>
    <w:rsid w:val="2F0671D4"/>
    <w:rsid w:val="2F246257"/>
    <w:rsid w:val="2F397228"/>
    <w:rsid w:val="2F527179"/>
    <w:rsid w:val="2F7155C8"/>
    <w:rsid w:val="2F837332"/>
    <w:rsid w:val="2FAA2B11"/>
    <w:rsid w:val="2FEC0156"/>
    <w:rsid w:val="2FF40230"/>
    <w:rsid w:val="3019022C"/>
    <w:rsid w:val="30204B81"/>
    <w:rsid w:val="30890978"/>
    <w:rsid w:val="30907F59"/>
    <w:rsid w:val="30AA08EF"/>
    <w:rsid w:val="30E107B4"/>
    <w:rsid w:val="311961A0"/>
    <w:rsid w:val="313B6CE2"/>
    <w:rsid w:val="314157A2"/>
    <w:rsid w:val="317E24A7"/>
    <w:rsid w:val="3195334D"/>
    <w:rsid w:val="31A71047"/>
    <w:rsid w:val="31C3610C"/>
    <w:rsid w:val="31DD0182"/>
    <w:rsid w:val="31E16592"/>
    <w:rsid w:val="321B3120"/>
    <w:rsid w:val="32244DFC"/>
    <w:rsid w:val="323A056C"/>
    <w:rsid w:val="324E6731"/>
    <w:rsid w:val="32876F04"/>
    <w:rsid w:val="328F6B94"/>
    <w:rsid w:val="32CB2480"/>
    <w:rsid w:val="32E12CEE"/>
    <w:rsid w:val="32E91BA2"/>
    <w:rsid w:val="32EC50D1"/>
    <w:rsid w:val="33217CC6"/>
    <w:rsid w:val="33246036"/>
    <w:rsid w:val="335245EC"/>
    <w:rsid w:val="335E60EC"/>
    <w:rsid w:val="33747CC5"/>
    <w:rsid w:val="33EC2CDD"/>
    <w:rsid w:val="33FD5315"/>
    <w:rsid w:val="34377469"/>
    <w:rsid w:val="345968B4"/>
    <w:rsid w:val="34645984"/>
    <w:rsid w:val="347436ED"/>
    <w:rsid w:val="347D2504"/>
    <w:rsid w:val="34A27A18"/>
    <w:rsid w:val="34AF4725"/>
    <w:rsid w:val="34BF2BBB"/>
    <w:rsid w:val="34CA707C"/>
    <w:rsid w:val="34E97C37"/>
    <w:rsid w:val="34F0546A"/>
    <w:rsid w:val="35076310"/>
    <w:rsid w:val="35077748"/>
    <w:rsid w:val="3509652C"/>
    <w:rsid w:val="350B22A4"/>
    <w:rsid w:val="353B4715"/>
    <w:rsid w:val="354632DC"/>
    <w:rsid w:val="35487054"/>
    <w:rsid w:val="3566572C"/>
    <w:rsid w:val="35941EE4"/>
    <w:rsid w:val="35C679D2"/>
    <w:rsid w:val="361231BE"/>
    <w:rsid w:val="3612431B"/>
    <w:rsid w:val="3614452E"/>
    <w:rsid w:val="361C403D"/>
    <w:rsid w:val="36681030"/>
    <w:rsid w:val="366C4FC4"/>
    <w:rsid w:val="367B0D63"/>
    <w:rsid w:val="36875531"/>
    <w:rsid w:val="369462C9"/>
    <w:rsid w:val="36AB46A8"/>
    <w:rsid w:val="36C0469C"/>
    <w:rsid w:val="36CE3589"/>
    <w:rsid w:val="37215DAE"/>
    <w:rsid w:val="37500442"/>
    <w:rsid w:val="3750352F"/>
    <w:rsid w:val="377C4D93"/>
    <w:rsid w:val="377F4883"/>
    <w:rsid w:val="379F6CD3"/>
    <w:rsid w:val="37BA58BB"/>
    <w:rsid w:val="37CB5D1A"/>
    <w:rsid w:val="37DF17C6"/>
    <w:rsid w:val="37E07842"/>
    <w:rsid w:val="37F54B45"/>
    <w:rsid w:val="384D3002"/>
    <w:rsid w:val="384F4255"/>
    <w:rsid w:val="385B0E4C"/>
    <w:rsid w:val="386A5533"/>
    <w:rsid w:val="386C3059"/>
    <w:rsid w:val="38740160"/>
    <w:rsid w:val="387839C2"/>
    <w:rsid w:val="38892362"/>
    <w:rsid w:val="38C033A5"/>
    <w:rsid w:val="38F9668A"/>
    <w:rsid w:val="39180AEB"/>
    <w:rsid w:val="394C4C39"/>
    <w:rsid w:val="39603510"/>
    <w:rsid w:val="39810D86"/>
    <w:rsid w:val="39C91F9E"/>
    <w:rsid w:val="39D013C6"/>
    <w:rsid w:val="39D0711B"/>
    <w:rsid w:val="39DA2245"/>
    <w:rsid w:val="39DC420F"/>
    <w:rsid w:val="3A175247"/>
    <w:rsid w:val="3A255BB6"/>
    <w:rsid w:val="3A43428E"/>
    <w:rsid w:val="3A53023B"/>
    <w:rsid w:val="3A73738A"/>
    <w:rsid w:val="3A914FF9"/>
    <w:rsid w:val="3ADE7B13"/>
    <w:rsid w:val="3AE07D2F"/>
    <w:rsid w:val="3AEB20E5"/>
    <w:rsid w:val="3AF1423A"/>
    <w:rsid w:val="3AFB2473"/>
    <w:rsid w:val="3B1D063B"/>
    <w:rsid w:val="3B491430"/>
    <w:rsid w:val="3B4E2EEA"/>
    <w:rsid w:val="3B6AB5C3"/>
    <w:rsid w:val="3B7235DF"/>
    <w:rsid w:val="3B7D557D"/>
    <w:rsid w:val="3BB23479"/>
    <w:rsid w:val="3BC62A80"/>
    <w:rsid w:val="3BF5780A"/>
    <w:rsid w:val="3C2459F9"/>
    <w:rsid w:val="3C343B6B"/>
    <w:rsid w:val="3C632FC6"/>
    <w:rsid w:val="3C6978B0"/>
    <w:rsid w:val="3C83202D"/>
    <w:rsid w:val="3C8841DA"/>
    <w:rsid w:val="3C923CDD"/>
    <w:rsid w:val="3CA553D5"/>
    <w:rsid w:val="3CC73807"/>
    <w:rsid w:val="3CE60DA1"/>
    <w:rsid w:val="3CEB1939"/>
    <w:rsid w:val="3CF655E7"/>
    <w:rsid w:val="3CFF178B"/>
    <w:rsid w:val="3D0F66A9"/>
    <w:rsid w:val="3D2A69F0"/>
    <w:rsid w:val="3D324146"/>
    <w:rsid w:val="3D37175C"/>
    <w:rsid w:val="3D4225DB"/>
    <w:rsid w:val="3D453E79"/>
    <w:rsid w:val="3D5140C2"/>
    <w:rsid w:val="3D7B2A4D"/>
    <w:rsid w:val="3D7B3D3F"/>
    <w:rsid w:val="3D976D74"/>
    <w:rsid w:val="3DA270E7"/>
    <w:rsid w:val="3DC254CA"/>
    <w:rsid w:val="3DCE6E97"/>
    <w:rsid w:val="3DED204D"/>
    <w:rsid w:val="3E0930F8"/>
    <w:rsid w:val="3F283A52"/>
    <w:rsid w:val="3F2959C1"/>
    <w:rsid w:val="3F32042D"/>
    <w:rsid w:val="3F4F7231"/>
    <w:rsid w:val="3F5D194E"/>
    <w:rsid w:val="3F7B6278"/>
    <w:rsid w:val="3F7D2F13"/>
    <w:rsid w:val="3F8C2250"/>
    <w:rsid w:val="3F942E96"/>
    <w:rsid w:val="3FAE3F57"/>
    <w:rsid w:val="3FBB48C6"/>
    <w:rsid w:val="3FD87226"/>
    <w:rsid w:val="3FDA5143"/>
    <w:rsid w:val="3FF04570"/>
    <w:rsid w:val="400B13AA"/>
    <w:rsid w:val="400C54DE"/>
    <w:rsid w:val="400C6ED0"/>
    <w:rsid w:val="405D597D"/>
    <w:rsid w:val="4070359E"/>
    <w:rsid w:val="40C003E6"/>
    <w:rsid w:val="40CD48B1"/>
    <w:rsid w:val="40F954CC"/>
    <w:rsid w:val="41111386"/>
    <w:rsid w:val="412C782A"/>
    <w:rsid w:val="41597EF3"/>
    <w:rsid w:val="418E2292"/>
    <w:rsid w:val="41986C6D"/>
    <w:rsid w:val="41BD5E41"/>
    <w:rsid w:val="42220C2D"/>
    <w:rsid w:val="42731488"/>
    <w:rsid w:val="427C658F"/>
    <w:rsid w:val="42887837"/>
    <w:rsid w:val="42977DE1"/>
    <w:rsid w:val="42B63FD3"/>
    <w:rsid w:val="42B86E9B"/>
    <w:rsid w:val="430F68C7"/>
    <w:rsid w:val="43657023"/>
    <w:rsid w:val="43AF4742"/>
    <w:rsid w:val="43C15C8A"/>
    <w:rsid w:val="43DE2113"/>
    <w:rsid w:val="43E44566"/>
    <w:rsid w:val="43FE086D"/>
    <w:rsid w:val="440028DC"/>
    <w:rsid w:val="444D2254"/>
    <w:rsid w:val="445C47A6"/>
    <w:rsid w:val="4528655A"/>
    <w:rsid w:val="455C4456"/>
    <w:rsid w:val="45717F01"/>
    <w:rsid w:val="45A56FAE"/>
    <w:rsid w:val="45AD6A5F"/>
    <w:rsid w:val="462406C2"/>
    <w:rsid w:val="4633585C"/>
    <w:rsid w:val="468E6D5F"/>
    <w:rsid w:val="469F0A9E"/>
    <w:rsid w:val="46A165C4"/>
    <w:rsid w:val="46B856BC"/>
    <w:rsid w:val="46E22739"/>
    <w:rsid w:val="46F34946"/>
    <w:rsid w:val="46F865BB"/>
    <w:rsid w:val="470E1780"/>
    <w:rsid w:val="472B07AB"/>
    <w:rsid w:val="473C009B"/>
    <w:rsid w:val="47451645"/>
    <w:rsid w:val="476A10AC"/>
    <w:rsid w:val="47A42ED4"/>
    <w:rsid w:val="47E33174"/>
    <w:rsid w:val="47E86474"/>
    <w:rsid w:val="47F16ACD"/>
    <w:rsid w:val="48174664"/>
    <w:rsid w:val="481F4C0B"/>
    <w:rsid w:val="48324CCC"/>
    <w:rsid w:val="484A2C8B"/>
    <w:rsid w:val="48515DC8"/>
    <w:rsid w:val="48621199"/>
    <w:rsid w:val="488C6E00"/>
    <w:rsid w:val="48943C93"/>
    <w:rsid w:val="489A151D"/>
    <w:rsid w:val="48BA065B"/>
    <w:rsid w:val="48E00EFA"/>
    <w:rsid w:val="48E0229A"/>
    <w:rsid w:val="4908149D"/>
    <w:rsid w:val="4921579A"/>
    <w:rsid w:val="497D499A"/>
    <w:rsid w:val="49984BB7"/>
    <w:rsid w:val="49E1317B"/>
    <w:rsid w:val="49F92273"/>
    <w:rsid w:val="4A0C6657"/>
    <w:rsid w:val="4A2512BA"/>
    <w:rsid w:val="4A4A7FFC"/>
    <w:rsid w:val="4A8A736F"/>
    <w:rsid w:val="4A9106FD"/>
    <w:rsid w:val="4AD30D16"/>
    <w:rsid w:val="4ADA1931"/>
    <w:rsid w:val="4ADC327B"/>
    <w:rsid w:val="4B1F3F5B"/>
    <w:rsid w:val="4B26353C"/>
    <w:rsid w:val="4B2652EA"/>
    <w:rsid w:val="4B4B4D50"/>
    <w:rsid w:val="4B6E4EE3"/>
    <w:rsid w:val="4B783B89"/>
    <w:rsid w:val="4B7E5C76"/>
    <w:rsid w:val="4BA3693A"/>
    <w:rsid w:val="4BCB7C3F"/>
    <w:rsid w:val="4BD31332"/>
    <w:rsid w:val="4C0C20D5"/>
    <w:rsid w:val="4C520360"/>
    <w:rsid w:val="4C6360CA"/>
    <w:rsid w:val="4C6836E0"/>
    <w:rsid w:val="4C721DFD"/>
    <w:rsid w:val="4CC62492"/>
    <w:rsid w:val="4CC81A5D"/>
    <w:rsid w:val="4CDB0356"/>
    <w:rsid w:val="4CEA0599"/>
    <w:rsid w:val="4D16795A"/>
    <w:rsid w:val="4D1F6494"/>
    <w:rsid w:val="4D221AE1"/>
    <w:rsid w:val="4D365A25"/>
    <w:rsid w:val="4D7A191D"/>
    <w:rsid w:val="4DAB5F7A"/>
    <w:rsid w:val="4DBF5582"/>
    <w:rsid w:val="4DE638C5"/>
    <w:rsid w:val="4DFA0CB0"/>
    <w:rsid w:val="4E0F6509"/>
    <w:rsid w:val="4E61394F"/>
    <w:rsid w:val="4E8A2033"/>
    <w:rsid w:val="4EF63225"/>
    <w:rsid w:val="4EF94AC3"/>
    <w:rsid w:val="4F133DD7"/>
    <w:rsid w:val="4F2A7373"/>
    <w:rsid w:val="4F310701"/>
    <w:rsid w:val="4F7D74A2"/>
    <w:rsid w:val="4FB438E8"/>
    <w:rsid w:val="4FDC74D0"/>
    <w:rsid w:val="4FE87012"/>
    <w:rsid w:val="502E69EF"/>
    <w:rsid w:val="505521CD"/>
    <w:rsid w:val="50553351"/>
    <w:rsid w:val="509E1DC6"/>
    <w:rsid w:val="50BB4726"/>
    <w:rsid w:val="50CC19FF"/>
    <w:rsid w:val="50F934A0"/>
    <w:rsid w:val="51013961"/>
    <w:rsid w:val="5107241E"/>
    <w:rsid w:val="511E58D1"/>
    <w:rsid w:val="51383198"/>
    <w:rsid w:val="51501312"/>
    <w:rsid w:val="5151478A"/>
    <w:rsid w:val="515F2140"/>
    <w:rsid w:val="516C3C72"/>
    <w:rsid w:val="51791EEB"/>
    <w:rsid w:val="51960CEF"/>
    <w:rsid w:val="51D33CF1"/>
    <w:rsid w:val="52097713"/>
    <w:rsid w:val="52125046"/>
    <w:rsid w:val="525A142D"/>
    <w:rsid w:val="529066E1"/>
    <w:rsid w:val="52B07F48"/>
    <w:rsid w:val="52B7716F"/>
    <w:rsid w:val="52B94123"/>
    <w:rsid w:val="52BB6C5F"/>
    <w:rsid w:val="52DE64AA"/>
    <w:rsid w:val="532729ED"/>
    <w:rsid w:val="53425BFF"/>
    <w:rsid w:val="53460A90"/>
    <w:rsid w:val="534A1D91"/>
    <w:rsid w:val="53582700"/>
    <w:rsid w:val="53980D4F"/>
    <w:rsid w:val="53A96AB8"/>
    <w:rsid w:val="53AE72D9"/>
    <w:rsid w:val="53E75832"/>
    <w:rsid w:val="53EE6BC1"/>
    <w:rsid w:val="540C27A0"/>
    <w:rsid w:val="54177EC5"/>
    <w:rsid w:val="544467E1"/>
    <w:rsid w:val="544E765F"/>
    <w:rsid w:val="54532EC8"/>
    <w:rsid w:val="545C437B"/>
    <w:rsid w:val="54703A7A"/>
    <w:rsid w:val="54C23F93"/>
    <w:rsid w:val="54D61395"/>
    <w:rsid w:val="54E33ED6"/>
    <w:rsid w:val="54F06DE9"/>
    <w:rsid w:val="54F20DCE"/>
    <w:rsid w:val="54F9581D"/>
    <w:rsid w:val="54FE2E33"/>
    <w:rsid w:val="55083CB2"/>
    <w:rsid w:val="555230F8"/>
    <w:rsid w:val="555B0C27"/>
    <w:rsid w:val="55651104"/>
    <w:rsid w:val="556E7FB9"/>
    <w:rsid w:val="55894DF3"/>
    <w:rsid w:val="559A7000"/>
    <w:rsid w:val="55C139AB"/>
    <w:rsid w:val="55E069DD"/>
    <w:rsid w:val="561F12B3"/>
    <w:rsid w:val="563B0413"/>
    <w:rsid w:val="563B50F5"/>
    <w:rsid w:val="56794E67"/>
    <w:rsid w:val="568B6949"/>
    <w:rsid w:val="56A619D5"/>
    <w:rsid w:val="56D7263C"/>
    <w:rsid w:val="56E12B74"/>
    <w:rsid w:val="56E72901"/>
    <w:rsid w:val="56EE0C86"/>
    <w:rsid w:val="570064CA"/>
    <w:rsid w:val="57654230"/>
    <w:rsid w:val="57680A38"/>
    <w:rsid w:val="57710A1E"/>
    <w:rsid w:val="57723665"/>
    <w:rsid w:val="578810DA"/>
    <w:rsid w:val="578C6014"/>
    <w:rsid w:val="57AA72A2"/>
    <w:rsid w:val="57AF0129"/>
    <w:rsid w:val="57B21375"/>
    <w:rsid w:val="57BD5228"/>
    <w:rsid w:val="57D32355"/>
    <w:rsid w:val="5803005A"/>
    <w:rsid w:val="581A49D7"/>
    <w:rsid w:val="58240E03"/>
    <w:rsid w:val="584D65AC"/>
    <w:rsid w:val="58B10512"/>
    <w:rsid w:val="58B55EFF"/>
    <w:rsid w:val="58B77EC9"/>
    <w:rsid w:val="58BF28DA"/>
    <w:rsid w:val="58C63C68"/>
    <w:rsid w:val="58E862D4"/>
    <w:rsid w:val="59011144"/>
    <w:rsid w:val="59545718"/>
    <w:rsid w:val="597D4C6F"/>
    <w:rsid w:val="59966CB1"/>
    <w:rsid w:val="59A0270B"/>
    <w:rsid w:val="59C608E4"/>
    <w:rsid w:val="59D40607"/>
    <w:rsid w:val="59E24A1E"/>
    <w:rsid w:val="59FE2357"/>
    <w:rsid w:val="5A5A7085"/>
    <w:rsid w:val="5A5F48DF"/>
    <w:rsid w:val="5A6B1B59"/>
    <w:rsid w:val="5A6C083F"/>
    <w:rsid w:val="5AB0285D"/>
    <w:rsid w:val="5AC24903"/>
    <w:rsid w:val="5AC73CC7"/>
    <w:rsid w:val="5AD579FB"/>
    <w:rsid w:val="5AF26F96"/>
    <w:rsid w:val="5B102666"/>
    <w:rsid w:val="5B4E0219"/>
    <w:rsid w:val="5B5E3292"/>
    <w:rsid w:val="5B7163FA"/>
    <w:rsid w:val="5B793214"/>
    <w:rsid w:val="5B810932"/>
    <w:rsid w:val="5B912D9E"/>
    <w:rsid w:val="5C166CB5"/>
    <w:rsid w:val="5C3A6E47"/>
    <w:rsid w:val="5C3D5BD6"/>
    <w:rsid w:val="5C467452"/>
    <w:rsid w:val="5C4A2E02"/>
    <w:rsid w:val="5C50666A"/>
    <w:rsid w:val="5C732359"/>
    <w:rsid w:val="5C8271B2"/>
    <w:rsid w:val="5CBF10FA"/>
    <w:rsid w:val="5CE70651"/>
    <w:rsid w:val="5CEE5E83"/>
    <w:rsid w:val="5CF039A9"/>
    <w:rsid w:val="5D1D4073"/>
    <w:rsid w:val="5D6B2D4E"/>
    <w:rsid w:val="5D9E51B4"/>
    <w:rsid w:val="5DAB167E"/>
    <w:rsid w:val="5DFB3886"/>
    <w:rsid w:val="5E251431"/>
    <w:rsid w:val="5E2A6A47"/>
    <w:rsid w:val="5E323B4E"/>
    <w:rsid w:val="5E4A0E97"/>
    <w:rsid w:val="5E5F0DE7"/>
    <w:rsid w:val="5E6F7288"/>
    <w:rsid w:val="5E7365F1"/>
    <w:rsid w:val="5E7F608D"/>
    <w:rsid w:val="5E8A398A"/>
    <w:rsid w:val="5E9B5BCC"/>
    <w:rsid w:val="5EA20CD3"/>
    <w:rsid w:val="5EAE1426"/>
    <w:rsid w:val="5EAE6472"/>
    <w:rsid w:val="5EBD382E"/>
    <w:rsid w:val="5EC07A13"/>
    <w:rsid w:val="5ECF7958"/>
    <w:rsid w:val="5EE94B54"/>
    <w:rsid w:val="5F1B2872"/>
    <w:rsid w:val="5F553F98"/>
    <w:rsid w:val="5F7353B2"/>
    <w:rsid w:val="5FA40A7B"/>
    <w:rsid w:val="5FAD6589"/>
    <w:rsid w:val="5FD20A0B"/>
    <w:rsid w:val="5FE41141"/>
    <w:rsid w:val="5FE5531C"/>
    <w:rsid w:val="5FEDC158"/>
    <w:rsid w:val="600167DE"/>
    <w:rsid w:val="60097D62"/>
    <w:rsid w:val="604C0EF7"/>
    <w:rsid w:val="604F4E8B"/>
    <w:rsid w:val="60591866"/>
    <w:rsid w:val="606D70BF"/>
    <w:rsid w:val="6071095D"/>
    <w:rsid w:val="60F8107F"/>
    <w:rsid w:val="61007F33"/>
    <w:rsid w:val="610A4290"/>
    <w:rsid w:val="61316FBE"/>
    <w:rsid w:val="613E7274"/>
    <w:rsid w:val="6142054C"/>
    <w:rsid w:val="614424BD"/>
    <w:rsid w:val="615564D1"/>
    <w:rsid w:val="61736957"/>
    <w:rsid w:val="61774699"/>
    <w:rsid w:val="61840B64"/>
    <w:rsid w:val="61DA0784"/>
    <w:rsid w:val="61E15E5A"/>
    <w:rsid w:val="61E909C7"/>
    <w:rsid w:val="62010C00"/>
    <w:rsid w:val="62160AE0"/>
    <w:rsid w:val="6219690E"/>
    <w:rsid w:val="622D40F1"/>
    <w:rsid w:val="62344338"/>
    <w:rsid w:val="62375BD7"/>
    <w:rsid w:val="62422518"/>
    <w:rsid w:val="62483940"/>
    <w:rsid w:val="625D168B"/>
    <w:rsid w:val="626B103B"/>
    <w:rsid w:val="62726C0F"/>
    <w:rsid w:val="62A33511"/>
    <w:rsid w:val="62BF00A6"/>
    <w:rsid w:val="62C84A81"/>
    <w:rsid w:val="62CE653B"/>
    <w:rsid w:val="62D84CC4"/>
    <w:rsid w:val="62E47B0C"/>
    <w:rsid w:val="62EC0DA3"/>
    <w:rsid w:val="63224191"/>
    <w:rsid w:val="638B60F8"/>
    <w:rsid w:val="63A55639"/>
    <w:rsid w:val="63B82D47"/>
    <w:rsid w:val="63BD3EBA"/>
    <w:rsid w:val="63CE4319"/>
    <w:rsid w:val="63F27284"/>
    <w:rsid w:val="640C24FE"/>
    <w:rsid w:val="647E66D4"/>
    <w:rsid w:val="648A0240"/>
    <w:rsid w:val="64D911C7"/>
    <w:rsid w:val="64E252D1"/>
    <w:rsid w:val="6500779B"/>
    <w:rsid w:val="65232544"/>
    <w:rsid w:val="653F6B42"/>
    <w:rsid w:val="65864EAB"/>
    <w:rsid w:val="65C23A09"/>
    <w:rsid w:val="65E46075"/>
    <w:rsid w:val="65F3396B"/>
    <w:rsid w:val="661A55F3"/>
    <w:rsid w:val="66320B8F"/>
    <w:rsid w:val="663C37BC"/>
    <w:rsid w:val="66522FDF"/>
    <w:rsid w:val="66841601"/>
    <w:rsid w:val="66967370"/>
    <w:rsid w:val="66B43DF1"/>
    <w:rsid w:val="66B75538"/>
    <w:rsid w:val="66BE68C6"/>
    <w:rsid w:val="66EA76BB"/>
    <w:rsid w:val="67010C05"/>
    <w:rsid w:val="67020B22"/>
    <w:rsid w:val="67024A05"/>
    <w:rsid w:val="67204E8B"/>
    <w:rsid w:val="67472418"/>
    <w:rsid w:val="67582877"/>
    <w:rsid w:val="67957627"/>
    <w:rsid w:val="67D87514"/>
    <w:rsid w:val="67E73BFB"/>
    <w:rsid w:val="67FD51CC"/>
    <w:rsid w:val="680A1072"/>
    <w:rsid w:val="6817628E"/>
    <w:rsid w:val="683D77C1"/>
    <w:rsid w:val="684C71B3"/>
    <w:rsid w:val="689E1495"/>
    <w:rsid w:val="68B166E3"/>
    <w:rsid w:val="68C71A66"/>
    <w:rsid w:val="69126A56"/>
    <w:rsid w:val="691E6A93"/>
    <w:rsid w:val="69390486"/>
    <w:rsid w:val="694D7A8E"/>
    <w:rsid w:val="696372B1"/>
    <w:rsid w:val="696848C8"/>
    <w:rsid w:val="6970023A"/>
    <w:rsid w:val="69760C8C"/>
    <w:rsid w:val="698C4A5A"/>
    <w:rsid w:val="69B47B0D"/>
    <w:rsid w:val="69B53FB1"/>
    <w:rsid w:val="69CD0CB1"/>
    <w:rsid w:val="69DB5903"/>
    <w:rsid w:val="69E62B52"/>
    <w:rsid w:val="6A3053E5"/>
    <w:rsid w:val="6A350C4E"/>
    <w:rsid w:val="6A484E25"/>
    <w:rsid w:val="6A6D488B"/>
    <w:rsid w:val="6A843983"/>
    <w:rsid w:val="6A890F99"/>
    <w:rsid w:val="6A8B2B69"/>
    <w:rsid w:val="6A926969"/>
    <w:rsid w:val="6AC63268"/>
    <w:rsid w:val="6AF1726A"/>
    <w:rsid w:val="6AF64881"/>
    <w:rsid w:val="6B2E2D87"/>
    <w:rsid w:val="6B3B056E"/>
    <w:rsid w:val="6B4F5D3F"/>
    <w:rsid w:val="6B530B87"/>
    <w:rsid w:val="6B5438B1"/>
    <w:rsid w:val="6B616E97"/>
    <w:rsid w:val="6B6712DB"/>
    <w:rsid w:val="6B6C069F"/>
    <w:rsid w:val="6B7D2CFA"/>
    <w:rsid w:val="6BA047ED"/>
    <w:rsid w:val="6BD526E8"/>
    <w:rsid w:val="6CD62255"/>
    <w:rsid w:val="6CE10C19"/>
    <w:rsid w:val="6D1014FE"/>
    <w:rsid w:val="6D1A237D"/>
    <w:rsid w:val="6D231231"/>
    <w:rsid w:val="6D237483"/>
    <w:rsid w:val="6D2A6A64"/>
    <w:rsid w:val="6D31451D"/>
    <w:rsid w:val="6D572567"/>
    <w:rsid w:val="6D785A21"/>
    <w:rsid w:val="6D7E46BA"/>
    <w:rsid w:val="6D7E59A8"/>
    <w:rsid w:val="6DD14348"/>
    <w:rsid w:val="6DD4077E"/>
    <w:rsid w:val="6DE45B61"/>
    <w:rsid w:val="6DEA1D4F"/>
    <w:rsid w:val="6E0F421C"/>
    <w:rsid w:val="6E0F5E6A"/>
    <w:rsid w:val="6E361438"/>
    <w:rsid w:val="6E5B2C4D"/>
    <w:rsid w:val="6E66618C"/>
    <w:rsid w:val="6E7D7067"/>
    <w:rsid w:val="6E821BA6"/>
    <w:rsid w:val="6E846C45"/>
    <w:rsid w:val="6F3239AE"/>
    <w:rsid w:val="6F3E2352"/>
    <w:rsid w:val="6F3F5052"/>
    <w:rsid w:val="6F421950"/>
    <w:rsid w:val="6F975F07"/>
    <w:rsid w:val="6FA32AFD"/>
    <w:rsid w:val="6FAC3760"/>
    <w:rsid w:val="6FFD1ECB"/>
    <w:rsid w:val="70310109"/>
    <w:rsid w:val="704345B4"/>
    <w:rsid w:val="707B2FF0"/>
    <w:rsid w:val="709014CD"/>
    <w:rsid w:val="70926DFA"/>
    <w:rsid w:val="70A370D3"/>
    <w:rsid w:val="70B328CC"/>
    <w:rsid w:val="70C70595"/>
    <w:rsid w:val="70FC2A21"/>
    <w:rsid w:val="71094BE2"/>
    <w:rsid w:val="713D675D"/>
    <w:rsid w:val="71453E6C"/>
    <w:rsid w:val="719460E0"/>
    <w:rsid w:val="71C01745"/>
    <w:rsid w:val="71DA3147"/>
    <w:rsid w:val="71DB3005"/>
    <w:rsid w:val="71DE5F14"/>
    <w:rsid w:val="71ED0060"/>
    <w:rsid w:val="71FB452B"/>
    <w:rsid w:val="720C6738"/>
    <w:rsid w:val="72223E96"/>
    <w:rsid w:val="722F2426"/>
    <w:rsid w:val="723D4B43"/>
    <w:rsid w:val="724C122A"/>
    <w:rsid w:val="72662FF9"/>
    <w:rsid w:val="729A1756"/>
    <w:rsid w:val="72B8066E"/>
    <w:rsid w:val="72EB459F"/>
    <w:rsid w:val="72F92DA5"/>
    <w:rsid w:val="73130081"/>
    <w:rsid w:val="733F6699"/>
    <w:rsid w:val="737A3B75"/>
    <w:rsid w:val="73BE7F06"/>
    <w:rsid w:val="745971B1"/>
    <w:rsid w:val="74705EA6"/>
    <w:rsid w:val="74894C41"/>
    <w:rsid w:val="74B84955"/>
    <w:rsid w:val="74E12465"/>
    <w:rsid w:val="75134281"/>
    <w:rsid w:val="75A85E1C"/>
    <w:rsid w:val="75B06B5B"/>
    <w:rsid w:val="75B66BDC"/>
    <w:rsid w:val="75BA6A9A"/>
    <w:rsid w:val="75EB18CD"/>
    <w:rsid w:val="760A5684"/>
    <w:rsid w:val="760F39EF"/>
    <w:rsid w:val="76285B0A"/>
    <w:rsid w:val="762A1E17"/>
    <w:rsid w:val="762B73A9"/>
    <w:rsid w:val="763444AF"/>
    <w:rsid w:val="763C3364"/>
    <w:rsid w:val="764F2F30"/>
    <w:rsid w:val="76612DCA"/>
    <w:rsid w:val="766F3739"/>
    <w:rsid w:val="768A2321"/>
    <w:rsid w:val="76957293"/>
    <w:rsid w:val="76B75B16"/>
    <w:rsid w:val="76CE66B2"/>
    <w:rsid w:val="76D96E05"/>
    <w:rsid w:val="76DE403B"/>
    <w:rsid w:val="76DF14BC"/>
    <w:rsid w:val="76FE31D8"/>
    <w:rsid w:val="77625FC5"/>
    <w:rsid w:val="77AF64E3"/>
    <w:rsid w:val="77B31545"/>
    <w:rsid w:val="77CB499F"/>
    <w:rsid w:val="78320EC2"/>
    <w:rsid w:val="783D1865"/>
    <w:rsid w:val="78961451"/>
    <w:rsid w:val="789B25C4"/>
    <w:rsid w:val="78F04DF1"/>
    <w:rsid w:val="79053EE1"/>
    <w:rsid w:val="791B3704"/>
    <w:rsid w:val="792718FA"/>
    <w:rsid w:val="792E3438"/>
    <w:rsid w:val="793547C6"/>
    <w:rsid w:val="794C7D62"/>
    <w:rsid w:val="796E5210"/>
    <w:rsid w:val="797B41A3"/>
    <w:rsid w:val="79BA084C"/>
    <w:rsid w:val="7A342CD0"/>
    <w:rsid w:val="7A5B629E"/>
    <w:rsid w:val="7A6D7F90"/>
    <w:rsid w:val="7A835199"/>
    <w:rsid w:val="7A8377B3"/>
    <w:rsid w:val="7AAC0AB8"/>
    <w:rsid w:val="7AD16558"/>
    <w:rsid w:val="7AD60594"/>
    <w:rsid w:val="7AE77D42"/>
    <w:rsid w:val="7AEF644D"/>
    <w:rsid w:val="7B024C42"/>
    <w:rsid w:val="7B3960C4"/>
    <w:rsid w:val="7B445194"/>
    <w:rsid w:val="7B4870C8"/>
    <w:rsid w:val="7B8D7658"/>
    <w:rsid w:val="7B8E01BE"/>
    <w:rsid w:val="7B8E2715"/>
    <w:rsid w:val="7BBD0AA3"/>
    <w:rsid w:val="7BBD4F47"/>
    <w:rsid w:val="7BEF32A2"/>
    <w:rsid w:val="7BF22E42"/>
    <w:rsid w:val="7C580F90"/>
    <w:rsid w:val="7C645384"/>
    <w:rsid w:val="7CB03B7C"/>
    <w:rsid w:val="7CC80884"/>
    <w:rsid w:val="7D006E99"/>
    <w:rsid w:val="7D020E63"/>
    <w:rsid w:val="7D6A6A08"/>
    <w:rsid w:val="7D790907"/>
    <w:rsid w:val="7DA22646"/>
    <w:rsid w:val="7DBB54B6"/>
    <w:rsid w:val="7DBFC059"/>
    <w:rsid w:val="7DC9294F"/>
    <w:rsid w:val="7DCC720B"/>
    <w:rsid w:val="7DDD367E"/>
    <w:rsid w:val="7DE5C570"/>
    <w:rsid w:val="7DEB18F7"/>
    <w:rsid w:val="7E0935CE"/>
    <w:rsid w:val="7E5366E6"/>
    <w:rsid w:val="7E591995"/>
    <w:rsid w:val="7E9E4BBC"/>
    <w:rsid w:val="7EAB5E39"/>
    <w:rsid w:val="7EC12188"/>
    <w:rsid w:val="7ECB34D7"/>
    <w:rsid w:val="7EF95B73"/>
    <w:rsid w:val="7EFE1AFE"/>
    <w:rsid w:val="7F10538E"/>
    <w:rsid w:val="7F30419D"/>
    <w:rsid w:val="7F38184C"/>
    <w:rsid w:val="7F427C3D"/>
    <w:rsid w:val="7F5A02BC"/>
    <w:rsid w:val="7FF86BA7"/>
    <w:rsid w:val="7FFB1D78"/>
    <w:rsid w:val="9CBE058D"/>
    <w:rsid w:val="B4EDEAB2"/>
    <w:rsid w:val="B8E707B5"/>
    <w:rsid w:val="BBBF1D73"/>
    <w:rsid w:val="BD4FFA35"/>
    <w:rsid w:val="BEFFEA19"/>
    <w:rsid w:val="EF5FE8D8"/>
    <w:rsid w:val="EFBD9328"/>
    <w:rsid w:val="FAFB3C2F"/>
    <w:rsid w:val="FB6F82BC"/>
    <w:rsid w:val="FD77CA18"/>
    <w:rsid w:val="FEF4F10F"/>
    <w:rsid w:val="FFBB7CD5"/>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uppressAutoHyphens/>
      <w:bidi w:val="0"/>
      <w:spacing w:before="0" w:after="0"/>
      <w:jc w:val="both"/>
    </w:pPr>
    <w:rPr>
      <w:rFonts w:asciiTheme="minorHAnsi" w:hAnsiTheme="minorHAnsi" w:eastAsiaTheme="minorEastAsia" w:cstheme="minorBidi"/>
      <w:color w:val="auto"/>
      <w:kern w:val="2"/>
      <w:sz w:val="21"/>
      <w:szCs w:val="22"/>
      <w:lang w:val="en-US" w:eastAsia="zh-CN" w:bidi="ar-SA"/>
    </w:rPr>
  </w:style>
  <w:style w:type="paragraph" w:styleId="3">
    <w:name w:val="heading 1"/>
    <w:basedOn w:val="1"/>
    <w:next w:val="1"/>
    <w:autoRedefine/>
    <w:qFormat/>
    <w:uiPriority w:val="9"/>
    <w:pPr>
      <w:keepNext/>
      <w:keepLines/>
      <w:jc w:val="center"/>
      <w:outlineLvl w:val="0"/>
    </w:pPr>
    <w:rPr>
      <w:b/>
      <w:bCs/>
      <w:kern w:val="2"/>
      <w:sz w:val="36"/>
      <w:szCs w:val="44"/>
    </w:rPr>
  </w:style>
  <w:style w:type="paragraph" w:styleId="4">
    <w:name w:val="heading 2"/>
    <w:basedOn w:val="1"/>
    <w:next w:val="1"/>
    <w:link w:val="73"/>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0"/>
    <w:autoRedefine/>
    <w:unhideWhenUsed/>
    <w:qFormat/>
    <w:uiPriority w:val="9"/>
    <w:pPr>
      <w:keepNext/>
      <w:keepLines/>
      <w:spacing w:before="260" w:after="260" w:line="415" w:lineRule="auto"/>
      <w:outlineLvl w:val="2"/>
    </w:pPr>
    <w:rPr>
      <w:rFonts w:ascii="Calibri" w:hAnsi="Calibri" w:eastAsia="宋体" w:cs="Times New Roman"/>
      <w:b/>
      <w:bCs/>
      <w:sz w:val="32"/>
      <w:szCs w:val="32"/>
    </w:rPr>
  </w:style>
  <w:style w:type="paragraph" w:styleId="6">
    <w:name w:val="heading 4"/>
    <w:basedOn w:val="1"/>
    <w:next w:val="1"/>
    <w:link w:val="51"/>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semiHidden/>
    <w:unhideWhenUsed/>
    <w:qFormat/>
    <w:uiPriority w:val="9"/>
    <w:pPr>
      <w:keepNext/>
      <w:keepLines/>
      <w:spacing w:before="280" w:after="290" w:line="376" w:lineRule="auto"/>
      <w:outlineLvl w:val="4"/>
    </w:pPr>
    <w:rPr>
      <w:b/>
      <w:bCs/>
      <w:sz w:val="28"/>
      <w:szCs w:val="28"/>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qFormat/>
    <w:uiPriority w:val="0"/>
    <w:rPr>
      <w:rFonts w:ascii="宋体" w:hAnsi="宋体"/>
    </w:rPr>
  </w:style>
  <w:style w:type="paragraph" w:styleId="8">
    <w:name w:val="toc 7"/>
    <w:basedOn w:val="1"/>
    <w:next w:val="1"/>
    <w:autoRedefine/>
    <w:qFormat/>
    <w:uiPriority w:val="39"/>
    <w:pPr>
      <w:ind w:left="1440" w:firstLine="0"/>
      <w:jc w:val="left"/>
    </w:pPr>
    <w:rPr>
      <w:rFonts w:ascii="Calibri" w:hAnsi="Calibri" w:eastAsia="宋体" w:cs="Times New Roman"/>
      <w:sz w:val="18"/>
      <w:szCs w:val="18"/>
    </w:rPr>
  </w:style>
  <w:style w:type="paragraph" w:styleId="9">
    <w:name w:val="caption"/>
    <w:basedOn w:val="1"/>
    <w:next w:val="1"/>
    <w:autoRedefine/>
    <w:qFormat/>
    <w:uiPriority w:val="35"/>
    <w:pPr>
      <w:spacing w:before="152" w:after="160"/>
    </w:pPr>
    <w:rPr>
      <w:rFonts w:ascii="Arial" w:hAnsi="Arial" w:eastAsia="黑体" w:cs="Arial"/>
      <w:sz w:val="20"/>
      <w:szCs w:val="20"/>
    </w:rPr>
  </w:style>
  <w:style w:type="paragraph" w:styleId="10">
    <w:name w:val="Document Map"/>
    <w:basedOn w:val="1"/>
    <w:autoRedefine/>
    <w:qFormat/>
    <w:uiPriority w:val="0"/>
    <w:pPr>
      <w:shd w:val="clear" w:color="auto" w:fill="000080"/>
    </w:pPr>
    <w:rPr>
      <w:sz w:val="24"/>
    </w:rPr>
  </w:style>
  <w:style w:type="paragraph" w:styleId="11">
    <w:name w:val="toa heading"/>
    <w:basedOn w:val="1"/>
    <w:next w:val="1"/>
    <w:autoRedefine/>
    <w:qFormat/>
    <w:uiPriority w:val="99"/>
    <w:pPr>
      <w:spacing w:before="120" w:after="0"/>
    </w:pPr>
    <w:rPr>
      <w:rFonts w:ascii="Arial" w:hAnsi="Arial" w:eastAsia="宋体" w:cs="Arial"/>
      <w:sz w:val="24"/>
      <w:szCs w:val="24"/>
    </w:rPr>
  </w:style>
  <w:style w:type="paragraph" w:styleId="12">
    <w:name w:val="annotation text"/>
    <w:basedOn w:val="1"/>
    <w:autoRedefine/>
    <w:qFormat/>
    <w:uiPriority w:val="0"/>
    <w:pPr>
      <w:jc w:val="left"/>
    </w:pPr>
  </w:style>
  <w:style w:type="paragraph" w:styleId="13">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next w:val="15"/>
    <w:autoRedefine/>
    <w:qFormat/>
    <w:uiPriority w:val="99"/>
    <w:pPr>
      <w:spacing w:before="120" w:after="120" w:line="280" w:lineRule="atLeast"/>
      <w:textAlignment w:val="baseline"/>
    </w:pPr>
    <w:rPr>
      <w:rFonts w:ascii="Calibri" w:hAnsi="Calibri" w:eastAsia="新宋体" w:cs="Times New Roman"/>
      <w:szCs w:val="21"/>
    </w:rPr>
  </w:style>
  <w:style w:type="paragraph" w:customStyle="1" w:styleId="15">
    <w:name w:val="Default"/>
    <w:autoRedefine/>
    <w:qFormat/>
    <w:uiPriority w:val="0"/>
    <w:pPr>
      <w:widowControl w:val="0"/>
      <w:suppressAutoHyphens/>
      <w:bidi w:val="0"/>
      <w:spacing w:before="0" w:after="0"/>
      <w:jc w:val="left"/>
    </w:pPr>
    <w:rPr>
      <w:rFonts w:ascii="仿宋_GB2312" w:eastAsia="仿宋_GB2312" w:hAnsiTheme="minorHAnsi" w:cstheme="minorBidi"/>
      <w:color w:val="000000"/>
      <w:kern w:val="2"/>
      <w:sz w:val="24"/>
      <w:szCs w:val="22"/>
      <w:lang w:val="en-US" w:eastAsia="zh-CN" w:bidi="ar-SA"/>
    </w:rPr>
  </w:style>
  <w:style w:type="paragraph" w:styleId="16">
    <w:name w:val="Body Text Indent"/>
    <w:basedOn w:val="1"/>
    <w:autoRedefine/>
    <w:qFormat/>
    <w:uiPriority w:val="99"/>
    <w:pPr>
      <w:spacing w:before="0" w:after="120"/>
      <w:ind w:left="420" w:firstLine="0"/>
    </w:pPr>
    <w:rPr>
      <w:rFonts w:ascii="Calibri" w:hAnsi="Calibri" w:eastAsia="宋体" w:cs="Times New Roman"/>
      <w:szCs w:val="20"/>
    </w:rPr>
  </w:style>
  <w:style w:type="paragraph" w:styleId="17">
    <w:name w:val="index 4"/>
    <w:basedOn w:val="1"/>
    <w:next w:val="1"/>
    <w:autoRedefine/>
    <w:qFormat/>
    <w:uiPriority w:val="0"/>
    <w:pPr>
      <w:ind w:left="600" w:firstLine="0"/>
    </w:pPr>
  </w:style>
  <w:style w:type="paragraph" w:styleId="18">
    <w:name w:val="toc 5"/>
    <w:basedOn w:val="1"/>
    <w:next w:val="1"/>
    <w:autoRedefine/>
    <w:qFormat/>
    <w:uiPriority w:val="39"/>
    <w:pPr>
      <w:ind w:left="960" w:firstLine="0"/>
      <w:jc w:val="left"/>
    </w:pPr>
    <w:rPr>
      <w:rFonts w:ascii="Calibri" w:hAnsi="Calibri" w:eastAsia="宋体" w:cs="Times New Roman"/>
      <w:sz w:val="18"/>
      <w:szCs w:val="18"/>
    </w:rPr>
  </w:style>
  <w:style w:type="paragraph" w:styleId="19">
    <w:name w:val="toc 3"/>
    <w:basedOn w:val="1"/>
    <w:next w:val="1"/>
    <w:autoRedefine/>
    <w:qFormat/>
    <w:uiPriority w:val="39"/>
    <w:pPr>
      <w:ind w:left="480" w:firstLine="0"/>
      <w:jc w:val="left"/>
    </w:pPr>
    <w:rPr>
      <w:rFonts w:ascii="Calibri" w:hAnsi="Calibri" w:eastAsia="宋体" w:cs="Times New Roman"/>
      <w:i/>
      <w:iCs/>
      <w:sz w:val="20"/>
      <w:szCs w:val="20"/>
    </w:rPr>
  </w:style>
  <w:style w:type="paragraph" w:styleId="20">
    <w:name w:val="toc 8"/>
    <w:basedOn w:val="1"/>
    <w:next w:val="1"/>
    <w:autoRedefine/>
    <w:qFormat/>
    <w:uiPriority w:val="39"/>
    <w:pPr>
      <w:ind w:left="1680" w:firstLine="0"/>
      <w:jc w:val="left"/>
    </w:pPr>
    <w:rPr>
      <w:rFonts w:ascii="Calibri" w:hAnsi="Calibri" w:eastAsia="宋体" w:cs="Times New Roman"/>
      <w:sz w:val="18"/>
      <w:szCs w:val="18"/>
    </w:rPr>
  </w:style>
  <w:style w:type="paragraph" w:styleId="21">
    <w:name w:val="Date"/>
    <w:basedOn w:val="1"/>
    <w:next w:val="1"/>
    <w:autoRedefine/>
    <w:qFormat/>
    <w:uiPriority w:val="0"/>
    <w:pPr>
      <w:ind w:left="100" w:firstLine="0"/>
    </w:pPr>
    <w:rPr>
      <w:sz w:val="24"/>
    </w:rPr>
  </w:style>
  <w:style w:type="paragraph" w:styleId="22">
    <w:name w:val="Body Text Indent 2"/>
    <w:basedOn w:val="1"/>
    <w:autoRedefine/>
    <w:qFormat/>
    <w:uiPriority w:val="0"/>
    <w:pPr>
      <w:spacing w:before="0" w:after="120" w:line="480" w:lineRule="auto"/>
      <w:ind w:left="420" w:firstLine="0"/>
    </w:pPr>
  </w:style>
  <w:style w:type="paragraph" w:styleId="23">
    <w:name w:val="Balloon Text"/>
    <w:basedOn w:val="1"/>
    <w:autoRedefine/>
    <w:qFormat/>
    <w:uiPriority w:val="0"/>
    <w:rPr>
      <w:sz w:val="18"/>
    </w:rPr>
  </w:style>
  <w:style w:type="paragraph" w:styleId="24">
    <w:name w:val="footer"/>
    <w:basedOn w:val="1"/>
    <w:autoRedefine/>
    <w:qFormat/>
    <w:uiPriority w:val="99"/>
    <w:pPr>
      <w:tabs>
        <w:tab w:val="center" w:pos="4153"/>
        <w:tab w:val="right" w:pos="8306"/>
      </w:tabs>
      <w:snapToGrid w:val="0"/>
      <w:jc w:val="left"/>
    </w:pPr>
    <w:rPr>
      <w:sz w:val="18"/>
    </w:rPr>
  </w:style>
  <w:style w:type="paragraph" w:styleId="25">
    <w:name w:val="envelope return"/>
    <w:basedOn w:val="1"/>
    <w:autoRedefine/>
    <w:qFormat/>
    <w:uiPriority w:val="0"/>
    <w:pPr>
      <w:snapToGrid w:val="0"/>
    </w:pPr>
    <w:rPr>
      <w:rFonts w:ascii="Arial" w:hAnsi="Arial"/>
    </w:rPr>
  </w:style>
  <w:style w:type="paragraph" w:styleId="26">
    <w:name w:val="header"/>
    <w:basedOn w:val="1"/>
    <w:autoRedefine/>
    <w:qFormat/>
    <w:uiPriority w:val="0"/>
    <w:pPr>
      <w:pBdr>
        <w:bottom w:val="single" w:color="000000"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firstLine="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firstLine="0"/>
      <w:jc w:val="left"/>
    </w:pPr>
    <w:rPr>
      <w:rFonts w:ascii="Calibri" w:hAnsi="Calibri" w:eastAsia="宋体" w:cs="Times New Roman"/>
      <w:sz w:val="18"/>
      <w:szCs w:val="18"/>
    </w:rPr>
  </w:style>
  <w:style w:type="paragraph" w:styleId="31">
    <w:name w:val="Body Text Indent 3"/>
    <w:basedOn w:val="1"/>
    <w:autoRedefine/>
    <w:qFormat/>
    <w:uiPriority w:val="0"/>
    <w:pPr>
      <w:spacing w:before="0" w:after="120"/>
      <w:ind w:left="420" w:firstLine="0"/>
    </w:pPr>
    <w:rPr>
      <w:sz w:val="16"/>
    </w:rPr>
  </w:style>
  <w:style w:type="paragraph" w:styleId="32">
    <w:name w:val="index 9"/>
    <w:basedOn w:val="1"/>
    <w:next w:val="1"/>
    <w:autoRedefine/>
    <w:unhideWhenUsed/>
    <w:qFormat/>
    <w:uiPriority w:val="0"/>
    <w:pPr>
      <w:ind w:left="2520" w:hanging="280"/>
    </w:pPr>
    <w:rPr>
      <w:rFonts w:eastAsia="仿宋"/>
      <w:sz w:val="28"/>
    </w:rPr>
  </w:style>
  <w:style w:type="paragraph" w:styleId="33">
    <w:name w:val="toc 2"/>
    <w:basedOn w:val="1"/>
    <w:next w:val="1"/>
    <w:autoRedefine/>
    <w:unhideWhenUsed/>
    <w:qFormat/>
    <w:uiPriority w:val="39"/>
    <w:pPr>
      <w:ind w:left="420" w:firstLine="0"/>
    </w:pPr>
    <w:rPr>
      <w:rFonts w:ascii="Calibri" w:hAnsi="Calibri" w:eastAsia="宋体" w:cs="Times New Roman"/>
      <w:szCs w:val="20"/>
    </w:rPr>
  </w:style>
  <w:style w:type="paragraph" w:styleId="34">
    <w:name w:val="toc 9"/>
    <w:basedOn w:val="1"/>
    <w:next w:val="1"/>
    <w:autoRedefine/>
    <w:qFormat/>
    <w:uiPriority w:val="39"/>
    <w:pPr>
      <w:ind w:left="1920" w:firstLine="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next w:val="1"/>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2"/>
    <w:next w:val="12"/>
    <w:autoRedefine/>
    <w:qFormat/>
    <w:uiPriority w:val="0"/>
    <w:rPr>
      <w:b/>
    </w:rPr>
  </w:style>
  <w:style w:type="paragraph" w:styleId="39">
    <w:name w:val="Body Text First Indent 2"/>
    <w:basedOn w:val="16"/>
    <w:autoRedefine/>
    <w:semiHidden/>
    <w:qFormat/>
    <w:uiPriority w:val="99"/>
    <w:pPr>
      <w:spacing w:line="276" w:lineRule="auto"/>
      <w:ind w:left="420" w:firstLine="420"/>
      <w:jc w:val="left"/>
    </w:pPr>
  </w:style>
  <w:style w:type="table" w:styleId="41">
    <w:name w:val="Table Grid"/>
    <w:basedOn w:val="40"/>
    <w:autoRedefine/>
    <w:qFormat/>
    <w:uiPriority w:val="39"/>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HTML Acronym"/>
    <w:basedOn w:val="42"/>
    <w:autoRedefine/>
    <w:qFormat/>
    <w:uiPriority w:val="99"/>
  </w:style>
  <w:style w:type="character" w:styleId="46">
    <w:name w:val="annotation reference"/>
    <w:basedOn w:val="42"/>
    <w:autoRedefine/>
    <w:qFormat/>
    <w:uiPriority w:val="99"/>
    <w:rPr>
      <w:sz w:val="21"/>
    </w:rPr>
  </w:style>
  <w:style w:type="character" w:customStyle="1" w:styleId="47">
    <w:name w:val="访问过的 Internet 链接"/>
    <w:basedOn w:val="42"/>
    <w:autoRedefine/>
    <w:qFormat/>
    <w:uiPriority w:val="99"/>
    <w:rPr>
      <w:color w:val="800080"/>
      <w:u w:val="single"/>
    </w:rPr>
  </w:style>
  <w:style w:type="character" w:customStyle="1" w:styleId="48">
    <w:name w:val="强调1"/>
    <w:autoRedefine/>
    <w:qFormat/>
    <w:uiPriority w:val="99"/>
    <w:rPr>
      <w:rFonts w:cs="Times New Roman"/>
      <w:color w:val="auto"/>
    </w:rPr>
  </w:style>
  <w:style w:type="character" w:customStyle="1" w:styleId="49">
    <w:name w:val="Internet 链接"/>
    <w:basedOn w:val="42"/>
    <w:autoRedefine/>
    <w:qFormat/>
    <w:uiPriority w:val="99"/>
    <w:rPr>
      <w:color w:val="1F4F88"/>
      <w:u w:val="none"/>
    </w:rPr>
  </w:style>
  <w:style w:type="character" w:customStyle="1" w:styleId="50">
    <w:name w:val="标题 1 字符"/>
    <w:basedOn w:val="42"/>
    <w:link w:val="5"/>
    <w:autoRedefine/>
    <w:qFormat/>
    <w:uiPriority w:val="9"/>
    <w:rPr>
      <w:rFonts w:ascii="Calibri" w:hAnsi="Calibri" w:eastAsia="宋体" w:cs="Times New Roman"/>
      <w:b/>
      <w:bCs/>
      <w:kern w:val="2"/>
      <w:sz w:val="36"/>
      <w:szCs w:val="44"/>
    </w:rPr>
  </w:style>
  <w:style w:type="character" w:customStyle="1" w:styleId="51">
    <w:name w:val="标题 2 字符"/>
    <w:basedOn w:val="42"/>
    <w:link w:val="6"/>
    <w:autoRedefine/>
    <w:qFormat/>
    <w:uiPriority w:val="9"/>
    <w:rPr>
      <w:rFonts w:ascii="Arial" w:hAnsi="Arial" w:eastAsia="宋体" w:cs="Times New Roman"/>
      <w:b/>
      <w:bCs/>
      <w:sz w:val="24"/>
      <w:szCs w:val="32"/>
    </w:rPr>
  </w:style>
  <w:style w:type="character" w:customStyle="1" w:styleId="52">
    <w:name w:val="标题 3 字符"/>
    <w:basedOn w:val="42"/>
    <w:autoRedefine/>
    <w:semiHidden/>
    <w:qFormat/>
    <w:uiPriority w:val="9"/>
    <w:rPr>
      <w:rFonts w:ascii="Calibri" w:hAnsi="Calibri" w:eastAsia="宋体" w:cs="Times New Roman"/>
      <w:b/>
      <w:bCs/>
      <w:sz w:val="32"/>
      <w:szCs w:val="32"/>
    </w:rPr>
  </w:style>
  <w:style w:type="character" w:customStyle="1" w:styleId="53">
    <w:name w:val="Char Char3"/>
    <w:autoRedefine/>
    <w:qFormat/>
    <w:uiPriority w:val="0"/>
    <w:rPr>
      <w:rFonts w:ascii="宋体" w:hAnsi="宋体" w:eastAsia="宋体"/>
      <w:kern w:val="2"/>
      <w:sz w:val="21"/>
      <w:lang w:val="en-US" w:eastAsia="zh-CN"/>
    </w:rPr>
  </w:style>
  <w:style w:type="character" w:customStyle="1" w:styleId="54">
    <w:name w:val="正文文本缩进 2 字符"/>
    <w:autoRedefine/>
    <w:qFormat/>
    <w:locked/>
    <w:uiPriority w:val="0"/>
  </w:style>
  <w:style w:type="character" w:customStyle="1" w:styleId="55">
    <w:name w:val="批注主题 字符"/>
    <w:autoRedefine/>
    <w:qFormat/>
    <w:locked/>
    <w:uiPriority w:val="0"/>
    <w:rPr>
      <w:b/>
    </w:rPr>
  </w:style>
  <w:style w:type="character" w:customStyle="1" w:styleId="56">
    <w:name w:val="正文文本缩进 3 字符"/>
    <w:autoRedefine/>
    <w:qFormat/>
    <w:locked/>
    <w:uiPriority w:val="0"/>
    <w:rPr>
      <w:sz w:val="16"/>
    </w:rPr>
  </w:style>
  <w:style w:type="character" w:customStyle="1" w:styleId="57">
    <w:name w:val="纯文本 Char"/>
    <w:autoRedefine/>
    <w:qFormat/>
    <w:uiPriority w:val="0"/>
    <w:rPr>
      <w:rFonts w:ascii="宋体" w:hAnsi="宋体" w:eastAsia="宋体"/>
      <w:kern w:val="2"/>
      <w:sz w:val="21"/>
      <w:lang w:val="en-US" w:eastAsia="zh-CN"/>
    </w:rPr>
  </w:style>
  <w:style w:type="character" w:customStyle="1" w:styleId="58">
    <w:name w:val="Char Char2"/>
    <w:autoRedefine/>
    <w:qFormat/>
    <w:uiPriority w:val="0"/>
    <w:rPr>
      <w:rFonts w:ascii="宋体" w:hAnsi="宋体"/>
      <w:kern w:val="2"/>
      <w:sz w:val="21"/>
    </w:rPr>
  </w:style>
  <w:style w:type="character" w:customStyle="1" w:styleId="59">
    <w:name w:val="列出段落 字符"/>
    <w:autoRedefine/>
    <w:qFormat/>
    <w:locked/>
    <w:uiPriority w:val="34"/>
    <w:rPr>
      <w:sz w:val="22"/>
    </w:rPr>
  </w:style>
  <w:style w:type="character" w:customStyle="1" w:styleId="60">
    <w:name w:val="apple-converted-space"/>
    <w:basedOn w:val="42"/>
    <w:autoRedefine/>
    <w:qFormat/>
    <w:uiPriority w:val="0"/>
    <w:rPr>
      <w:rFonts w:cs="Times New Roman"/>
    </w:rPr>
  </w:style>
  <w:style w:type="character" w:customStyle="1" w:styleId="61">
    <w:name w:val="页眉 字符"/>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autoRedefine/>
    <w:qFormat/>
    <w:locked/>
    <w:uiPriority w:val="0"/>
  </w:style>
  <w:style w:type="character" w:customStyle="1" w:styleId="64">
    <w:name w:val="标题 字符"/>
    <w:autoRedefine/>
    <w:qFormat/>
    <w:locked/>
    <w:uiPriority w:val="0"/>
    <w:rPr>
      <w:rFonts w:ascii="Arial" w:hAnsi="Arial"/>
      <w:b/>
      <w:sz w:val="32"/>
    </w:rPr>
  </w:style>
  <w:style w:type="character" w:customStyle="1" w:styleId="65">
    <w:name w:val="日期 字符"/>
    <w:autoRedefine/>
    <w:qFormat/>
    <w:locked/>
    <w:uiPriority w:val="0"/>
    <w:rPr>
      <w:sz w:val="24"/>
    </w:rPr>
  </w:style>
  <w:style w:type="character" w:customStyle="1" w:styleId="66">
    <w:name w:val="ATXT_Bullets Zchn"/>
    <w:autoRedefine/>
    <w:qFormat/>
    <w:locked/>
    <w:uiPriority w:val="99"/>
    <w:rPr>
      <w:rFonts w:ascii="Arial" w:hAnsi="Arial"/>
      <w:lang w:val="de-AT" w:eastAsia="zh-CN"/>
    </w:rPr>
  </w:style>
  <w:style w:type="character" w:customStyle="1" w:styleId="67">
    <w:name w:val="Char Char5"/>
    <w:autoRedefine/>
    <w:qFormat/>
    <w:uiPriority w:val="0"/>
    <w:rPr>
      <w:rFonts w:ascii="宋体" w:hAnsi="宋体" w:eastAsia="宋体"/>
      <w:kern w:val="2"/>
      <w:sz w:val="21"/>
      <w:lang w:val="en-US" w:eastAsia="zh-CN"/>
    </w:rPr>
  </w:style>
  <w:style w:type="character" w:customStyle="1" w:styleId="68">
    <w:name w:val="批注框文本 字符"/>
    <w:autoRedefine/>
    <w:qFormat/>
    <w:locked/>
    <w:uiPriority w:val="0"/>
    <w:rPr>
      <w:sz w:val="18"/>
    </w:rPr>
  </w:style>
  <w:style w:type="character" w:customStyle="1" w:styleId="69">
    <w:name w:val="批注文字 Char"/>
    <w:autoRedefine/>
    <w:qFormat/>
    <w:uiPriority w:val="0"/>
    <w:rPr>
      <w:kern w:val="2"/>
    </w:rPr>
  </w:style>
  <w:style w:type="character" w:customStyle="1" w:styleId="70">
    <w:name w:val="批注主题 Char"/>
    <w:autoRedefine/>
    <w:qFormat/>
    <w:uiPriority w:val="0"/>
    <w:rPr>
      <w:b/>
      <w:kern w:val="2"/>
    </w:rPr>
  </w:style>
  <w:style w:type="character" w:customStyle="1" w:styleId="71">
    <w:name w:val="文档结构图 字符"/>
    <w:autoRedefine/>
    <w:qFormat/>
    <w:locked/>
    <w:uiPriority w:val="0"/>
    <w:rPr>
      <w:sz w:val="24"/>
      <w:shd w:val="clear" w:fill="000080"/>
    </w:rPr>
  </w:style>
  <w:style w:type="character" w:customStyle="1" w:styleId="72">
    <w:name w:val="HTML Markup"/>
    <w:autoRedefine/>
    <w:qFormat/>
    <w:uiPriority w:val="0"/>
    <w:rPr>
      <w:vanish/>
      <w:color w:val="FF0000"/>
    </w:rPr>
  </w:style>
  <w:style w:type="character" w:customStyle="1" w:styleId="73">
    <w:name w:val="纯文本 字符"/>
    <w:link w:val="4"/>
    <w:autoRedefine/>
    <w:qFormat/>
    <w:locked/>
    <w:uiPriority w:val="0"/>
    <w:rPr>
      <w:rFonts w:ascii="宋体" w:hAnsi="宋体"/>
    </w:rPr>
  </w:style>
  <w:style w:type="character" w:customStyle="1" w:styleId="74">
    <w:name w:val="页脚 字符"/>
    <w:autoRedefine/>
    <w:qFormat/>
    <w:locked/>
    <w:uiPriority w:val="99"/>
    <w:rPr>
      <w:sz w:val="18"/>
    </w:rPr>
  </w:style>
  <w:style w:type="character" w:customStyle="1" w:styleId="75">
    <w:name w:val="Default Char"/>
    <w:autoRedefine/>
    <w:qFormat/>
    <w:locked/>
    <w:uiPriority w:val="0"/>
    <w:rPr>
      <w:rFonts w:ascii="仿宋_GB2312" w:hAnsi="仿宋_GB2312" w:eastAsia="仿宋_GB2312"/>
      <w:color w:val="000000"/>
      <w:sz w:val="24"/>
    </w:rPr>
  </w:style>
  <w:style w:type="character" w:customStyle="1" w:styleId="76">
    <w:name w:val="页脚 Char"/>
    <w:autoRedefine/>
    <w:qFormat/>
    <w:locked/>
    <w:uiPriority w:val="99"/>
    <w:rPr>
      <w:sz w:val="18"/>
    </w:rPr>
  </w:style>
  <w:style w:type="character" w:customStyle="1" w:styleId="77">
    <w:name w:val="批注文字 字符1"/>
    <w:basedOn w:val="42"/>
    <w:autoRedefine/>
    <w:semiHidden/>
    <w:qFormat/>
    <w:uiPriority w:val="99"/>
  </w:style>
  <w:style w:type="character" w:customStyle="1" w:styleId="78">
    <w:name w:val="批注文字 字符11"/>
    <w:basedOn w:val="42"/>
    <w:autoRedefine/>
    <w:qFormat/>
    <w:uiPriority w:val="0"/>
    <w:rPr>
      <w:rFonts w:cs="Times New Roman"/>
      <w:kern w:val="2"/>
      <w:sz w:val="21"/>
    </w:rPr>
  </w:style>
  <w:style w:type="character" w:customStyle="1" w:styleId="79">
    <w:name w:val="正文文本缩进 字符"/>
    <w:basedOn w:val="42"/>
    <w:autoRedefine/>
    <w:qFormat/>
    <w:uiPriority w:val="99"/>
    <w:rPr>
      <w:rFonts w:ascii="Calibri" w:hAnsi="Calibri" w:eastAsia="宋体" w:cs="Times New Roman"/>
      <w:szCs w:val="20"/>
    </w:rPr>
  </w:style>
  <w:style w:type="character" w:customStyle="1" w:styleId="80">
    <w:name w:val="文档结构图 字符1"/>
    <w:basedOn w:val="42"/>
    <w:autoRedefine/>
    <w:semiHidden/>
    <w:qFormat/>
    <w:uiPriority w:val="99"/>
    <w:rPr>
      <w:rFonts w:ascii="Microsoft YaHei UI" w:hAnsi="Microsoft YaHei UI" w:eastAsia="Microsoft YaHei UI"/>
      <w:sz w:val="18"/>
      <w:szCs w:val="18"/>
    </w:rPr>
  </w:style>
  <w:style w:type="character" w:customStyle="1" w:styleId="81">
    <w:name w:val="文档结构图 字符11"/>
    <w:basedOn w:val="42"/>
    <w:autoRedefine/>
    <w:semiHidden/>
    <w:qFormat/>
    <w:uiPriority w:val="99"/>
    <w:rPr>
      <w:rFonts w:ascii="Microsoft YaHei UI" w:hAnsi="Microsoft YaHei UI" w:eastAsia="Microsoft YaHei UI" w:cs="Times New Roman"/>
      <w:kern w:val="2"/>
      <w:sz w:val="18"/>
      <w:szCs w:val="18"/>
    </w:rPr>
  </w:style>
  <w:style w:type="character" w:customStyle="1" w:styleId="82">
    <w:name w:val="正文文本 字符"/>
    <w:basedOn w:val="42"/>
    <w:autoRedefine/>
    <w:qFormat/>
    <w:uiPriority w:val="99"/>
    <w:rPr>
      <w:rFonts w:ascii="Calibri" w:hAnsi="Calibri" w:eastAsia="新宋体" w:cs="Times New Roman"/>
      <w:szCs w:val="21"/>
    </w:rPr>
  </w:style>
  <w:style w:type="character" w:customStyle="1" w:styleId="83">
    <w:name w:val="纯文本 字符1"/>
    <w:basedOn w:val="42"/>
    <w:autoRedefine/>
    <w:semiHidden/>
    <w:qFormat/>
    <w:uiPriority w:val="99"/>
    <w:rPr>
      <w:rFonts w:hAnsi="等线" w:cs="Courier New" w:asciiTheme="minorEastAsia"/>
    </w:rPr>
  </w:style>
  <w:style w:type="character" w:customStyle="1" w:styleId="84">
    <w:name w:val="纯文本 字符11"/>
    <w:basedOn w:val="42"/>
    <w:autoRedefine/>
    <w:qFormat/>
    <w:uiPriority w:val="0"/>
    <w:rPr>
      <w:rFonts w:hAnsi="等线" w:cs="Courier New" w:asciiTheme="minorEastAsia" w:eastAsiaTheme="minorEastAsia"/>
      <w:kern w:val="2"/>
      <w:sz w:val="21"/>
    </w:rPr>
  </w:style>
  <w:style w:type="character" w:customStyle="1" w:styleId="85">
    <w:name w:val="页眉 字符1"/>
    <w:basedOn w:val="42"/>
    <w:autoRedefine/>
    <w:semiHidden/>
    <w:qFormat/>
    <w:uiPriority w:val="99"/>
    <w:rPr>
      <w:sz w:val="18"/>
      <w:szCs w:val="18"/>
    </w:rPr>
  </w:style>
  <w:style w:type="character" w:customStyle="1" w:styleId="86">
    <w:name w:val="页眉 字符11"/>
    <w:basedOn w:val="42"/>
    <w:autoRedefine/>
    <w:semiHidden/>
    <w:qFormat/>
    <w:uiPriority w:val="99"/>
    <w:rPr>
      <w:rFonts w:cs="Times New Roman"/>
      <w:kern w:val="2"/>
      <w:sz w:val="18"/>
      <w:szCs w:val="18"/>
    </w:rPr>
  </w:style>
  <w:style w:type="character" w:customStyle="1" w:styleId="87">
    <w:name w:val="批注框文本 字符1"/>
    <w:basedOn w:val="42"/>
    <w:autoRedefine/>
    <w:semiHidden/>
    <w:qFormat/>
    <w:uiPriority w:val="99"/>
    <w:rPr>
      <w:sz w:val="18"/>
      <w:szCs w:val="18"/>
    </w:rPr>
  </w:style>
  <w:style w:type="character" w:customStyle="1" w:styleId="88">
    <w:name w:val="批注框文本 字符11"/>
    <w:basedOn w:val="42"/>
    <w:autoRedefine/>
    <w:semiHidden/>
    <w:qFormat/>
    <w:uiPriority w:val="99"/>
    <w:rPr>
      <w:rFonts w:cs="Times New Roman"/>
      <w:kern w:val="2"/>
      <w:sz w:val="18"/>
      <w:szCs w:val="18"/>
    </w:rPr>
  </w:style>
  <w:style w:type="character" w:customStyle="1" w:styleId="89">
    <w:name w:val="日期 字符1"/>
    <w:basedOn w:val="42"/>
    <w:autoRedefine/>
    <w:semiHidden/>
    <w:qFormat/>
    <w:uiPriority w:val="99"/>
  </w:style>
  <w:style w:type="character" w:customStyle="1" w:styleId="90">
    <w:name w:val="日期 字符11"/>
    <w:basedOn w:val="42"/>
    <w:link w:val="91"/>
    <w:autoRedefine/>
    <w:semiHidden/>
    <w:qFormat/>
    <w:uiPriority w:val="99"/>
    <w:rPr>
      <w:rFonts w:cs="Times New Roman"/>
      <w:kern w:val="2"/>
      <w:sz w:val="21"/>
    </w:rPr>
  </w:style>
  <w:style w:type="paragraph" w:customStyle="1" w:styleId="91">
    <w:name w:val="标书正文格式"/>
    <w:basedOn w:val="2"/>
    <w:link w:val="90"/>
    <w:autoRedefine/>
    <w:qFormat/>
    <w:uiPriority w:val="0"/>
    <w:pPr>
      <w:spacing w:line="360" w:lineRule="auto"/>
      <w:ind w:firstLine="200"/>
    </w:pPr>
    <w:rPr>
      <w:color w:val="000000"/>
      <w:sz w:val="24"/>
      <w:szCs w:val="24"/>
    </w:rPr>
  </w:style>
  <w:style w:type="character" w:customStyle="1" w:styleId="92">
    <w:name w:val="页脚 字符1"/>
    <w:basedOn w:val="42"/>
    <w:autoRedefine/>
    <w:semiHidden/>
    <w:qFormat/>
    <w:uiPriority w:val="99"/>
    <w:rPr>
      <w:sz w:val="18"/>
      <w:szCs w:val="18"/>
    </w:rPr>
  </w:style>
  <w:style w:type="character" w:customStyle="1" w:styleId="93">
    <w:name w:val="页脚 字符11"/>
    <w:basedOn w:val="42"/>
    <w:autoRedefine/>
    <w:semiHidden/>
    <w:qFormat/>
    <w:uiPriority w:val="99"/>
    <w:rPr>
      <w:rFonts w:cs="Times New Roman"/>
      <w:kern w:val="2"/>
      <w:sz w:val="18"/>
      <w:szCs w:val="18"/>
    </w:rPr>
  </w:style>
  <w:style w:type="character" w:customStyle="1" w:styleId="94">
    <w:name w:val="正文文本缩进 2 字符1"/>
    <w:basedOn w:val="42"/>
    <w:autoRedefine/>
    <w:semiHidden/>
    <w:qFormat/>
    <w:uiPriority w:val="99"/>
  </w:style>
  <w:style w:type="character" w:customStyle="1" w:styleId="95">
    <w:name w:val="正文文本缩进 2 字符11"/>
    <w:basedOn w:val="42"/>
    <w:autoRedefine/>
    <w:semiHidden/>
    <w:qFormat/>
    <w:uiPriority w:val="99"/>
    <w:rPr>
      <w:rFonts w:cs="Times New Roman"/>
      <w:kern w:val="2"/>
      <w:sz w:val="21"/>
    </w:rPr>
  </w:style>
  <w:style w:type="character" w:customStyle="1" w:styleId="96">
    <w:name w:val="正文文本缩进 3 字符1"/>
    <w:basedOn w:val="42"/>
    <w:autoRedefine/>
    <w:semiHidden/>
    <w:qFormat/>
    <w:uiPriority w:val="99"/>
    <w:rPr>
      <w:sz w:val="16"/>
      <w:szCs w:val="16"/>
    </w:rPr>
  </w:style>
  <w:style w:type="character" w:customStyle="1" w:styleId="97">
    <w:name w:val="正文文本缩进 3 字符11"/>
    <w:basedOn w:val="42"/>
    <w:autoRedefine/>
    <w:semiHidden/>
    <w:qFormat/>
    <w:uiPriority w:val="99"/>
    <w:rPr>
      <w:rFonts w:cs="Times New Roman"/>
      <w:kern w:val="2"/>
      <w:sz w:val="16"/>
      <w:szCs w:val="16"/>
    </w:rPr>
  </w:style>
  <w:style w:type="character" w:customStyle="1" w:styleId="98">
    <w:name w:val="批注主题 字符1"/>
    <w:basedOn w:val="77"/>
    <w:autoRedefine/>
    <w:semiHidden/>
    <w:qFormat/>
    <w:uiPriority w:val="99"/>
    <w:rPr>
      <w:b/>
      <w:bCs/>
    </w:rPr>
  </w:style>
  <w:style w:type="character" w:customStyle="1" w:styleId="99">
    <w:name w:val="批注主题 字符11"/>
    <w:basedOn w:val="78"/>
    <w:link w:val="100"/>
    <w:autoRedefine/>
    <w:semiHidden/>
    <w:qFormat/>
    <w:uiPriority w:val="99"/>
    <w:rPr>
      <w:rFonts w:cs="Times New Roman"/>
      <w:b/>
      <w:bCs/>
      <w:kern w:val="2"/>
      <w:sz w:val="21"/>
    </w:rPr>
  </w:style>
  <w:style w:type="paragraph" w:customStyle="1" w:styleId="100">
    <w:name w:val="标书二级标题"/>
    <w:basedOn w:val="4"/>
    <w:link w:val="99"/>
    <w:autoRedefine/>
    <w:qFormat/>
    <w:uiPriority w:val="0"/>
    <w:pPr>
      <w:spacing w:line="240" w:lineRule="auto"/>
      <w:jc w:val="left"/>
    </w:pPr>
    <w:rPr>
      <w:rFonts w:ascii="宋体" w:hAnsi="宋体" w:eastAsia="黑体"/>
      <w:b w:val="0"/>
      <w:sz w:val="28"/>
      <w:szCs w:val="30"/>
    </w:rPr>
  </w:style>
  <w:style w:type="character" w:customStyle="1" w:styleId="101">
    <w:name w:val="标题 字符1"/>
    <w:basedOn w:val="42"/>
    <w:autoRedefine/>
    <w:qFormat/>
    <w:uiPriority w:val="10"/>
    <w:rPr>
      <w:rFonts w:asciiTheme="majorHAnsi" w:hAnsiTheme="majorHAnsi" w:eastAsiaTheme="majorEastAsia" w:cstheme="majorBidi"/>
      <w:b/>
      <w:bCs/>
      <w:sz w:val="32"/>
      <w:szCs w:val="32"/>
    </w:rPr>
  </w:style>
  <w:style w:type="character" w:customStyle="1" w:styleId="102">
    <w:name w:val="标题 字符11"/>
    <w:basedOn w:val="42"/>
    <w:link w:val="103"/>
    <w:autoRedefine/>
    <w:qFormat/>
    <w:uiPriority w:val="10"/>
    <w:rPr>
      <w:rFonts w:cs="Times New Roman" w:asciiTheme="majorHAnsi" w:hAnsiTheme="majorHAnsi" w:eastAsiaTheme="majorEastAsia"/>
      <w:b/>
      <w:bCs/>
      <w:kern w:val="2"/>
      <w:sz w:val="32"/>
      <w:szCs w:val="32"/>
    </w:rPr>
  </w:style>
  <w:style w:type="paragraph" w:customStyle="1" w:styleId="103">
    <w:name w:val="标书表格"/>
    <w:basedOn w:val="1"/>
    <w:link w:val="102"/>
    <w:autoRedefine/>
    <w:qFormat/>
    <w:uiPriority w:val="0"/>
    <w:pPr>
      <w:jc w:val="center"/>
    </w:pPr>
    <w:rPr>
      <w:rFonts w:ascii="Times New Roman" w:hAnsi="Times New Roman" w:eastAsia="宋体" w:cs="Times New Roman"/>
      <w:b/>
      <w:szCs w:val="20"/>
    </w:rPr>
  </w:style>
  <w:style w:type="character" w:customStyle="1" w:styleId="104">
    <w:name w:val="标书正文格式 字符"/>
    <w:autoRedefine/>
    <w:qFormat/>
    <w:locked/>
    <w:uiPriority w:val="0"/>
    <w:rPr>
      <w:rFonts w:ascii="宋体" w:hAnsi="宋体"/>
      <w:color w:val="000000"/>
      <w:sz w:val="24"/>
      <w:szCs w:val="24"/>
    </w:rPr>
  </w:style>
  <w:style w:type="character" w:customStyle="1" w:styleId="105">
    <w:name w:val="标书二级标题 字符"/>
    <w:autoRedefine/>
    <w:qFormat/>
    <w:locked/>
    <w:uiPriority w:val="0"/>
    <w:rPr>
      <w:rFonts w:ascii="宋体" w:hAnsi="宋体" w:eastAsia="黑体" w:cs="Times New Roman"/>
      <w:bCs/>
      <w:sz w:val="28"/>
      <w:szCs w:val="30"/>
    </w:rPr>
  </w:style>
  <w:style w:type="character" w:customStyle="1" w:styleId="106">
    <w:name w:val="标书表格 字符"/>
    <w:autoRedefine/>
    <w:qFormat/>
    <w:locked/>
    <w:uiPriority w:val="0"/>
    <w:rPr>
      <w:rFonts w:ascii="Times New Roman" w:hAnsi="Times New Roman" w:eastAsia="宋体" w:cs="Times New Roman"/>
      <w:b/>
      <w:szCs w:val="20"/>
    </w:rPr>
  </w:style>
  <w:style w:type="character" w:customStyle="1" w:styleId="107">
    <w:name w:val="标书三级标题 字符"/>
    <w:autoRedefine/>
    <w:qFormat/>
    <w:locked/>
    <w:uiPriority w:val="0"/>
    <w:rPr>
      <w:rFonts w:ascii="Times New Roman" w:hAnsi="Times New Roman" w:eastAsia="宋体" w:cs="Times New Roman"/>
      <w:b/>
      <w:bCs/>
      <w:color w:val="000000"/>
      <w:sz w:val="24"/>
      <w:szCs w:val="24"/>
    </w:rPr>
  </w:style>
  <w:style w:type="character" w:customStyle="1" w:styleId="108">
    <w:name w:val="标三级标题 字符"/>
    <w:autoRedefine/>
    <w:qFormat/>
    <w:locked/>
    <w:uiPriority w:val="0"/>
    <w:rPr>
      <w:b/>
      <w:color w:val="000000"/>
      <w:sz w:val="24"/>
    </w:rPr>
  </w:style>
  <w:style w:type="character" w:customStyle="1" w:styleId="109">
    <w:name w:val="标正文 字符"/>
    <w:autoRedefine/>
    <w:qFormat/>
    <w:locked/>
    <w:uiPriority w:val="0"/>
    <w:rPr>
      <w:rFonts w:ascii="宋体" w:hAnsi="宋体" w:eastAsia="宋体"/>
      <w:color w:val="000000"/>
      <w:sz w:val="24"/>
    </w:rPr>
  </w:style>
  <w:style w:type="character" w:customStyle="1" w:styleId="110">
    <w:name w:val="NormalCharacter"/>
    <w:autoRedefine/>
    <w:qFormat/>
    <w:uiPriority w:val="0"/>
  </w:style>
  <w:style w:type="character" w:customStyle="1" w:styleId="111">
    <w:name w:val="font61"/>
    <w:autoRedefine/>
    <w:qFormat/>
    <w:uiPriority w:val="0"/>
    <w:rPr>
      <w:rFonts w:ascii="宋体" w:hAnsi="宋体" w:eastAsia="宋体" w:cs="宋体"/>
      <w:color w:val="000000"/>
      <w:sz w:val="22"/>
      <w:szCs w:val="22"/>
      <w:u w:val="none"/>
    </w:rPr>
  </w:style>
  <w:style w:type="character" w:customStyle="1" w:styleId="112">
    <w:name w:val="索引链接"/>
    <w:autoRedefine/>
    <w:qFormat/>
    <w:uiPriority w:val="0"/>
  </w:style>
  <w:style w:type="paragraph" w:customStyle="1" w:styleId="113">
    <w:name w:val="标题样式"/>
    <w:basedOn w:val="1"/>
    <w:next w:val="14"/>
    <w:autoRedefine/>
    <w:qFormat/>
    <w:uiPriority w:val="0"/>
    <w:pPr>
      <w:keepNext/>
      <w:spacing w:before="240" w:after="120"/>
    </w:pPr>
    <w:rPr>
      <w:rFonts w:ascii="DejaVu Sans" w:hAnsi="DejaVu Sans" w:eastAsia="Noto Sans CJK SC" w:cs="Noto Sans CJK SC"/>
      <w:sz w:val="28"/>
      <w:szCs w:val="28"/>
    </w:rPr>
  </w:style>
  <w:style w:type="paragraph" w:customStyle="1" w:styleId="114">
    <w:name w:val="索引"/>
    <w:basedOn w:val="1"/>
    <w:autoRedefine/>
    <w:qFormat/>
    <w:uiPriority w:val="0"/>
    <w:pPr>
      <w:suppressLineNumbers/>
    </w:pPr>
    <w:rPr>
      <w:rFonts w:cs="Noto Sans CJK SC"/>
    </w:rPr>
  </w:style>
  <w:style w:type="paragraph" w:customStyle="1" w:styleId="115">
    <w:name w:val="页眉与页脚"/>
    <w:basedOn w:val="1"/>
    <w:autoRedefine/>
    <w:qFormat/>
    <w:uiPriority w:val="0"/>
  </w:style>
  <w:style w:type="paragraph" w:customStyle="1" w:styleId="116">
    <w:name w:val="列出段落1"/>
    <w:basedOn w:val="1"/>
    <w:autoRedefine/>
    <w:qFormat/>
    <w:uiPriority w:val="34"/>
    <w:pPr>
      <w:ind w:firstLine="420"/>
    </w:pPr>
    <w:rPr>
      <w:sz w:val="22"/>
    </w:rPr>
  </w:style>
  <w:style w:type="paragraph" w:customStyle="1" w:styleId="117">
    <w:name w:val="ATXT_Bullets"/>
    <w:autoRedefine/>
    <w:qFormat/>
    <w:uiPriority w:val="99"/>
    <w:pPr>
      <w:widowControl w:val="0"/>
      <w:tabs>
        <w:tab w:val="left" w:pos="360"/>
        <w:tab w:val="left" w:pos="2040"/>
      </w:tabs>
      <w:suppressAutoHyphens/>
      <w:bidi w:val="0"/>
      <w:spacing w:before="0" w:after="0"/>
      <w:ind w:left="1494" w:firstLine="0"/>
      <w:jc w:val="both"/>
    </w:pPr>
    <w:rPr>
      <w:rFonts w:ascii="Arial" w:hAnsi="Arial" w:eastAsiaTheme="minorEastAsia" w:cstheme="minorBidi"/>
      <w:color w:val="auto"/>
      <w:kern w:val="2"/>
      <w:sz w:val="21"/>
      <w:szCs w:val="22"/>
      <w:lang w:val="de-AT" w:eastAsia="zh-CN" w:bidi="ar-SA"/>
    </w:rPr>
  </w:style>
  <w:style w:type="paragraph" w:customStyle="1" w:styleId="118">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19">
    <w:name w:val="1"/>
    <w:basedOn w:val="1"/>
    <w:autoRedefine/>
    <w:qFormat/>
    <w:uiPriority w:val="0"/>
    <w:pPr>
      <w:widowControl/>
      <w:spacing w:beforeAutospacing="1" w:afterAutospacing="1"/>
      <w:jc w:val="left"/>
    </w:pPr>
    <w:rPr>
      <w:rFonts w:ascii="宋体" w:hAnsi="宋体" w:eastAsia="宋体" w:cs="Times New Roman"/>
      <w:kern w:val="0"/>
      <w:sz w:val="24"/>
      <w:szCs w:val="24"/>
    </w:rPr>
  </w:style>
  <w:style w:type="paragraph" w:customStyle="1" w:styleId="120">
    <w:name w:val="二级列表 Char"/>
    <w:basedOn w:val="1"/>
    <w:autoRedefine/>
    <w:qFormat/>
    <w:uiPriority w:val="0"/>
    <w:rPr>
      <w:rFonts w:ascii="Calibri" w:hAnsi="Calibri" w:eastAsia="宋体" w:cs="Times New Roman"/>
      <w:szCs w:val="20"/>
    </w:rPr>
  </w:style>
  <w:style w:type="paragraph" w:customStyle="1" w:styleId="121">
    <w:name w:val="2"/>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2">
    <w:name w:val="1列"/>
    <w:basedOn w:val="1"/>
    <w:autoRedefine/>
    <w:qFormat/>
    <w:uiPriority w:val="0"/>
    <w:pPr>
      <w:spacing w:line="360" w:lineRule="auto"/>
      <w:ind w:left="401" w:hanging="401"/>
    </w:pPr>
    <w:rPr>
      <w:rFonts w:ascii="Calibri" w:hAnsi="Calibri" w:eastAsia="宋体" w:cs="Times New Roman"/>
      <w:szCs w:val="24"/>
    </w:rPr>
  </w:style>
  <w:style w:type="paragraph" w:customStyle="1" w:styleId="123">
    <w:name w:val="ATXT_Standard"/>
    <w:autoRedefine/>
    <w:qFormat/>
    <w:uiPriority w:val="99"/>
    <w:pPr>
      <w:widowControl w:val="0"/>
      <w:suppressAutoHyphens/>
      <w:bidi w:val="0"/>
      <w:spacing w:before="0" w:after="0"/>
      <w:ind w:left="1134" w:firstLine="0"/>
      <w:jc w:val="both"/>
    </w:pPr>
    <w:rPr>
      <w:rFonts w:ascii="Arial" w:hAnsi="Arial" w:eastAsia="宋体" w:cs="Arial"/>
      <w:color w:val="auto"/>
      <w:kern w:val="0"/>
      <w:sz w:val="20"/>
      <w:szCs w:val="20"/>
      <w:lang w:val="en-US" w:eastAsia="zh-CN" w:bidi="ar-SA"/>
    </w:rPr>
  </w:style>
  <w:style w:type="paragraph" w:customStyle="1" w:styleId="124">
    <w:name w:val="Char Char3 Char Char Char Char Char Char Char"/>
    <w:basedOn w:val="1"/>
    <w:autoRedefine/>
    <w:qFormat/>
    <w:uiPriority w:val="0"/>
    <w:pPr>
      <w:widowControl/>
      <w:tabs>
        <w:tab w:val="left" w:pos="425"/>
      </w:tabs>
      <w:spacing w:before="0" w:after="160" w:line="240" w:lineRule="exact"/>
      <w:ind w:left="425" w:hanging="425"/>
      <w:jc w:val="left"/>
    </w:pPr>
    <w:rPr>
      <w:rFonts w:ascii="Verdana" w:hAnsi="Verdana" w:eastAsia="宋体" w:cs="Times New Roman"/>
      <w:kern w:val="0"/>
      <w:sz w:val="20"/>
      <w:szCs w:val="20"/>
      <w:lang w:eastAsia="en-US"/>
    </w:rPr>
  </w:style>
  <w:style w:type="paragraph" w:customStyle="1" w:styleId="125">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26">
    <w:name w:val="正文1"/>
    <w:basedOn w:val="1"/>
    <w:autoRedefine/>
    <w:qFormat/>
    <w:uiPriority w:val="0"/>
    <w:pPr>
      <w:spacing w:line="312" w:lineRule="atLeast"/>
    </w:pPr>
    <w:rPr>
      <w:rFonts w:ascii="楷体_GB2312" w:hAnsi="楷体_GB2312" w:eastAsia="楷体_GB2312" w:cs="Times New Roman"/>
      <w:kern w:val="0"/>
      <w:sz w:val="24"/>
      <w:szCs w:val="20"/>
    </w:rPr>
  </w:style>
  <w:style w:type="paragraph" w:customStyle="1" w:styleId="127">
    <w:name w:val="Char Char Char Char Char Char1 Char"/>
    <w:basedOn w:val="1"/>
    <w:autoRedefine/>
    <w:qFormat/>
    <w:uiPriority w:val="0"/>
    <w:pPr>
      <w:widowControl/>
      <w:spacing w:before="0" w:after="160" w:line="240" w:lineRule="exact"/>
      <w:jc w:val="left"/>
    </w:pPr>
    <w:rPr>
      <w:rFonts w:ascii="Arial" w:hAnsi="Arial" w:eastAsia="宋体" w:cs="Verdana"/>
      <w:b/>
      <w:kern w:val="0"/>
      <w:sz w:val="24"/>
      <w:szCs w:val="24"/>
      <w:lang w:eastAsia="en-US" w:bidi="th-TH"/>
    </w:rPr>
  </w:style>
  <w:style w:type="paragraph" w:customStyle="1" w:styleId="128">
    <w:name w:val="Pied"/>
    <w:basedOn w:val="1"/>
    <w:autoRedefine/>
    <w:qFormat/>
    <w:uiPriority w:val="0"/>
    <w:pPr>
      <w:tabs>
        <w:tab w:val="center" w:pos="4252"/>
        <w:tab w:val="right" w:pos="8504"/>
      </w:tabs>
      <w:ind w:left="284" w:right="284" w:firstLine="0"/>
      <w:jc w:val="center"/>
    </w:pPr>
    <w:rPr>
      <w:rFonts w:ascii="Calibri" w:hAnsi="Calibri" w:eastAsia="宋体" w:cs="Times New Roman"/>
      <w:b/>
      <w:color w:val="000000"/>
      <w:sz w:val="16"/>
      <w:szCs w:val="24"/>
      <w:lang w:val="fr-FR" w:eastAsia="fr-FR"/>
    </w:rPr>
  </w:style>
  <w:style w:type="paragraph" w:customStyle="1" w:styleId="129">
    <w:name w:val="AVL_Continuous_normal"/>
    <w:autoRedefine/>
    <w:qFormat/>
    <w:uiPriority w:val="99"/>
    <w:pPr>
      <w:widowControl w:val="0"/>
      <w:suppressAutoHyphens/>
      <w:bidi w:val="0"/>
      <w:spacing w:before="0" w:after="0"/>
      <w:jc w:val="left"/>
    </w:pPr>
    <w:rPr>
      <w:rFonts w:ascii="Arial" w:hAnsi="Arial" w:eastAsia="宋体" w:cs="Arial"/>
      <w:color w:val="070000"/>
      <w:kern w:val="0"/>
      <w:sz w:val="19"/>
      <w:szCs w:val="19"/>
      <w:lang w:val="de-AT" w:eastAsia="zh-CN" w:bidi="th-TH"/>
    </w:rPr>
  </w:style>
  <w:style w:type="paragraph" w:customStyle="1" w:styleId="130">
    <w:name w:val="标书三级标题"/>
    <w:basedOn w:val="5"/>
    <w:next w:val="91"/>
    <w:autoRedefine/>
    <w:qFormat/>
    <w:uiPriority w:val="0"/>
    <w:pPr>
      <w:spacing w:before="0" w:after="0" w:line="240" w:lineRule="auto"/>
      <w:ind w:firstLine="482"/>
    </w:pPr>
    <w:rPr>
      <w:rFonts w:ascii="Times New Roman" w:hAnsi="Times New Roman"/>
      <w:color w:val="000000"/>
      <w:sz w:val="24"/>
      <w:szCs w:val="24"/>
    </w:rPr>
  </w:style>
  <w:style w:type="paragraph" w:customStyle="1" w:styleId="131">
    <w:name w:val="标三级标题"/>
    <w:basedOn w:val="130"/>
    <w:autoRedefine/>
    <w:qFormat/>
    <w:uiPriority w:val="0"/>
    <w:rPr>
      <w:rFonts w:asciiTheme="minorHAnsi" w:hAnsiTheme="minorHAnsi" w:eastAsiaTheme="minorEastAsia" w:cstheme="minorBidi"/>
      <w:bCs w:val="0"/>
      <w:szCs w:val="22"/>
    </w:rPr>
  </w:style>
  <w:style w:type="paragraph" w:customStyle="1" w:styleId="132">
    <w:name w:val="标正文"/>
    <w:basedOn w:val="91"/>
    <w:autoRedefine/>
    <w:qFormat/>
    <w:uiPriority w:val="0"/>
    <w:pPr>
      <w:ind w:firstLine="480"/>
    </w:pPr>
    <w:rPr>
      <w:rFonts w:eastAsia="宋体" w:hAnsiTheme="minorHAnsi"/>
      <w:szCs w:val="22"/>
    </w:rPr>
  </w:style>
  <w:style w:type="paragraph" w:customStyle="1" w:styleId="133">
    <w:name w:val="TOC 标题1"/>
    <w:basedOn w:val="3"/>
    <w:next w:val="1"/>
    <w:autoRedefine/>
    <w:unhideWhenUsed/>
    <w:qFormat/>
    <w:uiPriority w:val="39"/>
    <w:pPr>
      <w:widowControl/>
      <w:spacing w:before="240" w:after="0" w:line="259" w:lineRule="auto"/>
      <w:jc w:val="left"/>
    </w:pPr>
    <w:rPr>
      <w:rFonts w:ascii="等线 Light" w:hAnsi="等线 Light" w:eastAsia="等线 Light"/>
      <w:b w:val="0"/>
      <w:bCs w:val="0"/>
      <w:color w:val="2E74B5"/>
      <w:kern w:val="0"/>
      <w:sz w:val="32"/>
      <w:szCs w:val="32"/>
    </w:rPr>
  </w:style>
  <w:style w:type="paragraph" w:customStyle="1" w:styleId="134">
    <w:name w:val="HR正文表格"/>
    <w:basedOn w:val="1"/>
    <w:autoRedefine/>
    <w:qFormat/>
    <w:uiPriority w:val="0"/>
    <w:pPr>
      <w:spacing w:line="300" w:lineRule="auto"/>
    </w:pPr>
    <w:rPr>
      <w:szCs w:val="24"/>
    </w:rPr>
  </w:style>
  <w:style w:type="paragraph" w:styleId="135">
    <w:name w:val="List Paragraph"/>
    <w:basedOn w:val="1"/>
    <w:autoRedefine/>
    <w:qFormat/>
    <w:uiPriority w:val="99"/>
    <w:pPr>
      <w:ind w:firstLine="420"/>
    </w:pPr>
  </w:style>
  <w:style w:type="paragraph" w:customStyle="1" w:styleId="136">
    <w:name w:val="WPSOffice手动目录 1"/>
    <w:autoRedefine/>
    <w:qFormat/>
    <w:uiPriority w:val="0"/>
    <w:pPr>
      <w:widowControl/>
      <w:suppressAutoHyphens/>
      <w:bidi w:val="0"/>
      <w:spacing w:before="0" w:after="0"/>
      <w:jc w:val="left"/>
    </w:pPr>
    <w:rPr>
      <w:rFonts w:ascii="Times New Roman" w:hAnsi="Times New Roman" w:eastAsia="宋体" w:cs="Times New Roman"/>
      <w:color w:val="auto"/>
      <w:kern w:val="0"/>
      <w:sz w:val="20"/>
      <w:szCs w:val="20"/>
      <w:lang w:val="en-US" w:eastAsia="zh-CN" w:bidi="ar-SA"/>
    </w:rPr>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3"/>
    <w:autoRedefine/>
    <w:qFormat/>
    <w:uiPriority w:val="0"/>
    <w:rPr>
      <w:rFonts w:eastAsia="黑体"/>
      <w:b w:val="0"/>
      <w:color w:val="000000"/>
      <w:sz w:val="30"/>
      <w:szCs w:val="24"/>
    </w:rPr>
  </w:style>
  <w:style w:type="paragraph" w:customStyle="1" w:styleId="139">
    <w:name w:val="框架内容"/>
    <w:basedOn w:val="1"/>
    <w:autoRedefine/>
    <w:qFormat/>
    <w:uiPriority w:val="0"/>
  </w:style>
  <w:style w:type="table" w:customStyle="1" w:styleId="14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footer" Target="footer4.xml"/><Relationship Id="rId89" Type="http://schemas.openxmlformats.org/officeDocument/2006/relationships/customXml" Target="../customXml/item1.xml"/><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header" Target="header2.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44.xml"/><Relationship Id="rId72" Type="http://schemas.openxmlformats.org/officeDocument/2006/relationships/footer" Target="footer43.xml"/><Relationship Id="rId71" Type="http://schemas.openxmlformats.org/officeDocument/2006/relationships/header" Target="header26.xml"/><Relationship Id="rId70" Type="http://schemas.openxmlformats.org/officeDocument/2006/relationships/header" Target="header25.xml"/><Relationship Id="rId7" Type="http://schemas.openxmlformats.org/officeDocument/2006/relationships/footer" Target="foot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header" Target="header24.xml"/><Relationship Id="rId66" Type="http://schemas.openxmlformats.org/officeDocument/2006/relationships/header" Target="header23.xml"/><Relationship Id="rId65" Type="http://schemas.openxmlformats.org/officeDocument/2006/relationships/footer" Target="footer40.xml"/><Relationship Id="rId64" Type="http://schemas.openxmlformats.org/officeDocument/2006/relationships/header" Target="header22.xml"/><Relationship Id="rId63" Type="http://schemas.openxmlformats.org/officeDocument/2006/relationships/footer" Target="footer39.xml"/><Relationship Id="rId62" Type="http://schemas.openxmlformats.org/officeDocument/2006/relationships/footer" Target="footer38.xml"/><Relationship Id="rId61" Type="http://schemas.openxmlformats.org/officeDocument/2006/relationships/footer" Target="footer37.xml"/><Relationship Id="rId60" Type="http://schemas.openxmlformats.org/officeDocument/2006/relationships/footer" Target="footer36.xml"/><Relationship Id="rId6" Type="http://schemas.openxmlformats.org/officeDocument/2006/relationships/header" Target="header1.xml"/><Relationship Id="rId59" Type="http://schemas.openxmlformats.org/officeDocument/2006/relationships/header" Target="header21.xml"/><Relationship Id="rId58" Type="http://schemas.openxmlformats.org/officeDocument/2006/relationships/header" Target="header20.xml"/><Relationship Id="rId57" Type="http://schemas.openxmlformats.org/officeDocument/2006/relationships/footer" Target="footer35.xml"/><Relationship Id="rId56" Type="http://schemas.openxmlformats.org/officeDocument/2006/relationships/header" Target="header19.xml"/><Relationship Id="rId55" Type="http://schemas.openxmlformats.org/officeDocument/2006/relationships/footer" Target="footer34.xml"/><Relationship Id="rId54" Type="http://schemas.openxmlformats.org/officeDocument/2006/relationships/header" Target="header18.xml"/><Relationship Id="rId53" Type="http://schemas.openxmlformats.org/officeDocument/2006/relationships/footer" Target="footer33.xml"/><Relationship Id="rId52" Type="http://schemas.openxmlformats.org/officeDocument/2006/relationships/header" Target="header17.xml"/><Relationship Id="rId51" Type="http://schemas.openxmlformats.org/officeDocument/2006/relationships/footer" Target="footer32.xml"/><Relationship Id="rId50" Type="http://schemas.openxmlformats.org/officeDocument/2006/relationships/header" Target="header16.xml"/><Relationship Id="rId5" Type="http://schemas.openxmlformats.org/officeDocument/2006/relationships/footer" Target="footer2.xml"/><Relationship Id="rId49" Type="http://schemas.openxmlformats.org/officeDocument/2006/relationships/footer" Target="footer31.xml"/><Relationship Id="rId48" Type="http://schemas.openxmlformats.org/officeDocument/2006/relationships/footer" Target="footer30.xml"/><Relationship Id="rId47" Type="http://schemas.openxmlformats.org/officeDocument/2006/relationships/header" Target="header15.xml"/><Relationship Id="rId46" Type="http://schemas.openxmlformats.org/officeDocument/2006/relationships/footer" Target="footer29.xml"/><Relationship Id="rId45" Type="http://schemas.openxmlformats.org/officeDocument/2006/relationships/footer" Target="footer28.xml"/><Relationship Id="rId44" Type="http://schemas.openxmlformats.org/officeDocument/2006/relationships/header" Target="header14.xml"/><Relationship Id="rId43" Type="http://schemas.openxmlformats.org/officeDocument/2006/relationships/footer" Target="footer27.xml"/><Relationship Id="rId42" Type="http://schemas.openxmlformats.org/officeDocument/2006/relationships/header" Target="header13.xml"/><Relationship Id="rId41" Type="http://schemas.openxmlformats.org/officeDocument/2006/relationships/footer" Target="footer26.xml"/><Relationship Id="rId40" Type="http://schemas.openxmlformats.org/officeDocument/2006/relationships/footer" Target="footer25.xml"/><Relationship Id="rId4" Type="http://schemas.openxmlformats.org/officeDocument/2006/relationships/footer" Target="footer1.xml"/><Relationship Id="rId39" Type="http://schemas.openxmlformats.org/officeDocument/2006/relationships/header" Target="header12.xml"/><Relationship Id="rId38" Type="http://schemas.openxmlformats.org/officeDocument/2006/relationships/footer" Target="footer24.xml"/><Relationship Id="rId37" Type="http://schemas.openxmlformats.org/officeDocument/2006/relationships/footer" Target="footer23.xml"/><Relationship Id="rId36" Type="http://schemas.openxmlformats.org/officeDocument/2006/relationships/header" Target="header11.xml"/><Relationship Id="rId35" Type="http://schemas.openxmlformats.org/officeDocument/2006/relationships/footer" Target="footer22.xml"/><Relationship Id="rId34" Type="http://schemas.openxmlformats.org/officeDocument/2006/relationships/header" Target="header10.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9.xml"/><Relationship Id="rId30" Type="http://schemas.openxmlformats.org/officeDocument/2006/relationships/footer" Target="footer19.xml"/><Relationship Id="rId3" Type="http://schemas.openxmlformats.org/officeDocument/2006/relationships/footnotes" Target="footnotes.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header" Target="header8.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7.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6.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footer" Target="footer6.xml"/><Relationship Id="rId12" Type="http://schemas.openxmlformats.org/officeDocument/2006/relationships/header" Target="header4.xml"/><Relationship Id="rId11" Type="http://schemas.openxmlformats.org/officeDocument/2006/relationships/footer" Target="footer5.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78</Pages>
  <Words>36347</Words>
  <Characters>38207</Characters>
  <Paragraphs>1518</Paragraphs>
  <TotalTime>20</TotalTime>
  <ScaleCrop>false</ScaleCrop>
  <LinksUpToDate>false</LinksUpToDate>
  <CharactersWithSpaces>44296</CharactersWithSpaces>
  <Application>WPS Office_12.1.0.16399_F1E327BC-269C-435d-A152-05C5408002CA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2021-05-29T09:26:00Z</dcterms:created>
  <dc:creator>ZQNet</dc:creator>
  <cp:lastModifiedBy>李图河</cp:lastModifiedBy>
  <cp:lastPrinted>2022-07-02T03:19:00Z</cp:lastPrinted>
  <dcterms:modified xsi:type="dcterms:W3CDTF">2024-09-29T08:50:50Z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859FBCF263954629B7832CC208C3BD52_13</vt:lpwstr>
  </property>
  <property fmtid="{D5CDD505-2E9C-101B-9397-08002B2CF9AE}" pid="3" name="KSOProductBuildVer">
    <vt:lpwstr>2052-12.1.0.16399</vt:lpwstr>
  </property>
</Properties>
</file>